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8"/>
        <w:ind w:firstLine="0"/>
        <w:rPr>
          <w:rFonts w:hint="eastAsia" w:eastAsia="黑体"/>
          <w:b/>
          <w:bCs/>
          <w:color w:val="000000"/>
          <w:sz w:val="84"/>
          <w:highlight w:val="none"/>
        </w:rPr>
      </w:pPr>
      <w:r>
        <w:rPr>
          <w:rFonts w:hint="eastAsia" w:eastAsia="黑体"/>
          <w:b/>
          <w:bCs/>
          <w:color w:val="000000"/>
          <w:sz w:val="84"/>
          <w:highlight w:val="none"/>
        </w:rPr>
      </w:r>
      <w:r/>
    </w:p>
    <w:p>
      <w:pPr>
        <w:pStyle w:val="1328"/>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328"/>
        <w:ind w:firstLine="0"/>
        <w:jc w:val="center"/>
        <w:rPr>
          <w:rFonts w:hint="eastAsia"/>
          <w:b/>
          <w:bCs/>
          <w:color w:val="000000"/>
          <w:sz w:val="32"/>
          <w:szCs w:val="32"/>
          <w:highlight w:val="none"/>
        </w:rPr>
      </w:pPr>
      <w:r>
        <w:rPr>
          <w:rFonts w:hint="eastAsia"/>
          <w:b/>
          <w:bCs/>
          <w:color w:val="000000"/>
          <w:sz w:val="32"/>
          <w:szCs w:val="32"/>
          <w:highlight w:val="none"/>
        </w:rPr>
      </w:r>
      <w:r/>
    </w:p>
    <w:p>
      <w:pPr>
        <w:pStyle w:val="1328"/>
        <w:ind w:firstLine="0"/>
        <w:jc w:val="center"/>
        <w:rPr>
          <w:rFonts w:hint="eastAsia"/>
          <w:b/>
          <w:bCs/>
          <w:color w:val="000000"/>
          <w:sz w:val="32"/>
          <w:szCs w:val="32"/>
          <w:highlight w:val="none"/>
        </w:rPr>
      </w:pPr>
      <w:r>
        <w:rPr>
          <w:rFonts w:hint="eastAsia"/>
          <w:b/>
          <w:bCs/>
          <w:color w:val="000000"/>
          <w:sz w:val="32"/>
          <w:szCs w:val="32"/>
          <w:highlight w:val="none"/>
        </w:rPr>
      </w:r>
      <w:r/>
    </w:p>
    <w:p>
      <w:pPr>
        <w:pStyle w:val="1328"/>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镇江市扬中生态环境局空气自动站设备更新项目</w:t>
      </w:r>
      <w:r>
        <w:rPr>
          <w:rFonts w:hint="eastAsia" w:eastAsia="宋体"/>
          <w:b/>
          <w:bCs/>
          <w:color w:val="000000"/>
          <w:sz w:val="32"/>
          <w:szCs w:val="32"/>
          <w:highlight w:val="none"/>
          <w:lang w:eastAsia="zh-CN"/>
        </w:rPr>
      </w:r>
      <w:r/>
    </w:p>
    <w:p>
      <w:pPr>
        <w:pStyle w:val="1225"/>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JSZC-321182-JJGS-G2026-0012</w:t>
      </w:r>
      <w:r>
        <w:rPr>
          <w:rFonts w:hint="eastAsia" w:eastAsia="宋体"/>
          <w:b/>
          <w:color w:val="000000"/>
          <w:sz w:val="32"/>
          <w:szCs w:val="32"/>
          <w:highlight w:val="none"/>
          <w:lang w:eastAsia="zh-CN"/>
        </w:rPr>
      </w:r>
      <w:r/>
    </w:p>
    <w:p>
      <w:pPr>
        <w:pStyle w:val="1225"/>
        <w:jc w:val="center"/>
        <w:rPr>
          <w:rFonts w:hint="eastAsia"/>
          <w:b/>
          <w:color w:val="000000"/>
          <w:sz w:val="32"/>
          <w:szCs w:val="32"/>
          <w:highlight w:val="none"/>
        </w:rPr>
      </w:pPr>
      <w:r>
        <w:rPr>
          <w:rFonts w:hint="eastAsia"/>
          <w:b/>
          <w:color w:val="000000"/>
          <w:sz w:val="32"/>
          <w:szCs w:val="32"/>
          <w:highlight w:val="none"/>
        </w:rPr>
      </w:r>
      <w:r/>
    </w:p>
    <w:p>
      <w:pPr>
        <w:pStyle w:val="1225"/>
        <w:jc w:val="center"/>
        <w:rPr>
          <w:rFonts w:hint="eastAsia"/>
          <w:b/>
          <w:color w:val="000000"/>
          <w:sz w:val="32"/>
          <w:szCs w:val="32"/>
          <w:highlight w:val="none"/>
        </w:rPr>
      </w:pPr>
      <w:r>
        <w:rPr>
          <w:rFonts w:hint="eastAsia"/>
          <w:b/>
          <w:color w:val="000000"/>
          <w:sz w:val="32"/>
          <w:szCs w:val="32"/>
          <w:highlight w:val="none"/>
        </w:rPr>
        <w:t xml:space="preserve">（全流程电子化</w:t>
      </w:r>
      <w:r>
        <w:rPr>
          <w:b/>
          <w:color w:val="000000"/>
          <w:sz w:val="32"/>
          <w:szCs w:val="32"/>
          <w:highlight w:val="none"/>
        </w:rPr>
        <w:t xml:space="preserve">-</w:t>
      </w:r>
      <w:r>
        <w:rPr>
          <w:rFonts w:hint="eastAsia"/>
          <w:b/>
          <w:color w:val="000000"/>
          <w:sz w:val="32"/>
          <w:szCs w:val="32"/>
          <w:highlight w:val="none"/>
          <w:lang w:eastAsia="zh-CN"/>
        </w:rPr>
        <w:t xml:space="preserve">货物</w:t>
      </w:r>
      <w:r>
        <w:rPr>
          <w:rFonts w:hint="eastAsia"/>
          <w:b/>
          <w:color w:val="000000"/>
          <w:sz w:val="32"/>
          <w:szCs w:val="32"/>
          <w:highlight w:val="none"/>
        </w:rPr>
        <w:t xml:space="preserve">类项目，适用苏采云系统）</w:t>
      </w:r>
      <w:r>
        <w:rPr>
          <w:rFonts w:hint="eastAsia"/>
          <w:b/>
          <w:color w:val="000000"/>
          <w:sz w:val="32"/>
          <w:szCs w:val="32"/>
          <w:highlight w:val="none"/>
        </w:rPr>
      </w:r>
      <w:r/>
    </w:p>
    <w:p>
      <w:pPr>
        <w:pStyle w:val="132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2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2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2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28"/>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2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22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w:t>
      </w:r>
      <w:r>
        <w:rPr>
          <w:rFonts w:hint="eastAsia" w:ascii="Arial" w:hAnsi="Arial"/>
          <w:b/>
          <w:bCs/>
          <w:color w:val="000000"/>
          <w:sz w:val="32"/>
          <w:szCs w:val="32"/>
          <w:highlight w:val="none"/>
        </w:rPr>
        <w:t xml:space="preserve">年</w:t>
      </w:r>
      <w:r>
        <w:rPr>
          <w:rFonts w:hint="eastAsia" w:ascii="Arial" w:hAnsi="Arial"/>
          <w:b/>
          <w:bCs/>
          <w:color w:val="000000"/>
          <w:sz w:val="32"/>
          <w:szCs w:val="32"/>
          <w:highlight w:val="none"/>
          <w:lang w:val="en-US" w:eastAsia="zh-CN"/>
        </w:rPr>
        <w:t xml:space="preserve">8</w:t>
      </w:r>
      <w:r>
        <w:rPr>
          <w:rFonts w:hint="eastAsia" w:ascii="Arial" w:hAnsi="Arial"/>
          <w:b/>
          <w:bCs/>
          <w:color w:val="000000"/>
          <w:sz w:val="32"/>
          <w:szCs w:val="32"/>
          <w:highlight w:val="none"/>
        </w:rPr>
        <w:t xml:space="preserve">月</w:t>
      </w:r>
      <w:r>
        <w:rPr>
          <w:rFonts w:hint="eastAsia" w:ascii="Arial" w:hAnsi="Arial"/>
          <w:b/>
          <w:bCs/>
          <w:color w:val="000000"/>
          <w:sz w:val="32"/>
          <w:szCs w:val="32"/>
          <w:highlight w:val="none"/>
          <w:lang w:val="en-US" w:eastAsia="zh-CN"/>
        </w:rPr>
        <w:t xml:space="preserve">12</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328"/>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328"/>
        <w:ind w:firstLine="0"/>
        <w:jc w:val="center"/>
        <w:rPr>
          <w:rFonts w:hint="eastAsia"/>
          <w:color w:val="000000"/>
          <w:highlight w:val="none"/>
        </w:rPr>
      </w:pPr>
      <w:r>
        <w:rPr>
          <w:rFonts w:hint="eastAsia"/>
          <w:color w:val="000000"/>
          <w:highlight w:val="none"/>
        </w:rPr>
      </w:r>
      <w:r/>
    </w:p>
    <w:p>
      <w:pPr>
        <w:pStyle w:val="1225"/>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2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225"/>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22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22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2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2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25"/>
        <w:numPr>
          <w:ilvl w:val="0"/>
          <w:numId w:val="4"/>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5"/>
        <w:rPr>
          <w:rFonts w:hint="eastAsia"/>
          <w:color w:val="000000"/>
          <w:highlight w:val="none"/>
        </w:rPr>
      </w:pPr>
      <w:r>
        <w:rPr>
          <w:rFonts w:hint="eastAsia"/>
          <w:color w:val="000000"/>
          <w:highlight w:val="none"/>
        </w:rPr>
      </w:r>
      <w:r/>
    </w:p>
    <w:p>
      <w:pPr>
        <w:pStyle w:val="1226"/>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 镇江市扬中生态环境局</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镇江市扬中生态环境局空气自动站设备更新项目</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JSZC-321182-JJGS-G2026-0012</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])项目进行公开招标，欢迎符合条件的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镇江市扬中生态环境局空气自动站设备更新项目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“江苏政府网”http://jszfcg.jscz.gov.cn/jszc/login自行免费下载</w:t>
      </w:r>
      <w:r>
        <w:rPr>
          <w:rFonts w:hint="eastAsia" w:ascii="宋体" w:hAnsi="宋体"/>
          <w:color w:val="000000"/>
          <w:sz w:val="24"/>
          <w:szCs w:val="24"/>
          <w:highlight w:val="none"/>
        </w:rPr>
        <w:t xml:space="preserve">招标文件，</w:t>
      </w:r>
      <w:r>
        <w:rPr>
          <w:rFonts w:hint="eastAsia" w:ascii="宋体" w:hAnsi="宋体"/>
          <w:b/>
          <w:bCs/>
          <w:color w:val="0000ff"/>
          <w:sz w:val="24"/>
          <w:szCs w:val="24"/>
          <w:highlight w:val="white"/>
        </w:rPr>
        <w:t xml:space="preserve">并于</w:t>
      </w:r>
      <w:r>
        <w:rPr>
          <w:rFonts w:hint="eastAsia" w:ascii="宋体" w:hAnsi="宋体"/>
          <w:b/>
          <w:bCs/>
          <w:color w:val="0000ff"/>
          <w:sz w:val="24"/>
          <w:szCs w:val="24"/>
          <w:highlight w:val="white"/>
          <w:u w:val="single"/>
          <w:lang w:eastAsia="zh-CN"/>
        </w:rPr>
        <w:t xml:space="preserve">2026</w:t>
      </w:r>
      <w:r>
        <w:rPr>
          <w:rFonts w:hint="eastAsia" w:ascii="宋体" w:hAnsi="宋体"/>
          <w:b/>
          <w:bCs/>
          <w:color w:val="0000ff"/>
          <w:sz w:val="24"/>
          <w:szCs w:val="24"/>
          <w:highlight w:val="white"/>
          <w:u w:val="single"/>
        </w:rPr>
        <w:t xml:space="preserve">年</w:t>
      </w:r>
      <w:r>
        <w:rPr>
          <w:rFonts w:hint="eastAsia" w:ascii="宋体" w:hAnsi="宋体"/>
          <w:b/>
          <w:bCs/>
          <w:color w:val="0000ff"/>
          <w:sz w:val="24"/>
          <w:szCs w:val="24"/>
          <w:highlight w:val="white"/>
          <w:u w:val="single"/>
          <w:lang w:val="en-US" w:eastAsia="zh-CN"/>
        </w:rPr>
        <w:t xml:space="preserve">9</w:t>
      </w:r>
      <w:r>
        <w:rPr>
          <w:rFonts w:hint="eastAsia" w:ascii="宋体" w:hAnsi="宋体"/>
          <w:b/>
          <w:bCs/>
          <w:color w:val="0000ff"/>
          <w:sz w:val="24"/>
          <w:szCs w:val="24"/>
          <w:highlight w:val="white"/>
          <w:u w:val="single"/>
        </w:rPr>
        <w:t xml:space="preserve">月</w:t>
      </w:r>
      <w:r>
        <w:rPr>
          <w:rFonts w:hint="eastAsia" w:ascii="宋体" w:hAnsi="宋体"/>
          <w:b/>
          <w:bCs/>
          <w:color w:val="0000ff"/>
          <w:sz w:val="24"/>
          <w:szCs w:val="24"/>
          <w:highlight w:val="white"/>
          <w:u w:val="single"/>
          <w:lang w:val="en-US" w:eastAsia="zh-CN"/>
        </w:rPr>
        <w:t xml:space="preserve">2</w:t>
      </w:r>
      <w:r>
        <w:rPr>
          <w:rFonts w:hint="eastAsia" w:ascii="宋体" w:hAnsi="宋体"/>
          <w:b/>
          <w:bCs/>
          <w:color w:val="0000ff"/>
          <w:sz w:val="24"/>
          <w:szCs w:val="24"/>
          <w:highlight w:val="white"/>
          <w:u w:val="single"/>
        </w:rPr>
        <w:t xml:space="preserve">日</w:t>
      </w:r>
      <w:r>
        <w:rPr>
          <w:rFonts w:hint="eastAsia" w:ascii="宋体" w:hAnsi="宋体"/>
          <w:b/>
          <w:bCs/>
          <w:color w:val="0000ff"/>
          <w:sz w:val="24"/>
          <w:szCs w:val="24"/>
          <w:highlight w:val="white"/>
          <w:u w:val="single"/>
          <w:lang w:val="en-US" w:eastAsia="zh-CN"/>
        </w:rPr>
        <w:t xml:space="preserve">1</w:t>
      </w:r>
      <w:r>
        <w:rPr>
          <w:rFonts w:hint="eastAsia" w:ascii="宋体" w:hAnsi="宋体"/>
          <w:b/>
          <w:bCs/>
          <w:color w:val="0000ff"/>
          <w:sz w:val="24"/>
          <w:szCs w:val="24"/>
          <w:highlight w:val="white"/>
          <w:u w:val="single"/>
          <w:lang w:val="en-US" w:eastAsia="zh-CN"/>
        </w:rPr>
        <w:t xml:space="preserve">4</w:t>
      </w:r>
      <w:r>
        <w:rPr>
          <w:rFonts w:hint="eastAsia" w:ascii="宋体" w:hAnsi="宋体"/>
          <w:b/>
          <w:bCs/>
          <w:color w:val="0000ff"/>
          <w:sz w:val="24"/>
          <w:szCs w:val="24"/>
          <w:highlight w:val="white"/>
          <w:u w:val="single"/>
        </w:rPr>
        <w:t xml:space="preserve">点</w:t>
      </w:r>
      <w:r>
        <w:rPr>
          <w:rFonts w:hint="eastAsia" w:ascii="宋体" w:hAnsi="宋体"/>
          <w:b/>
          <w:bCs/>
          <w:color w:val="0000ff"/>
          <w:sz w:val="24"/>
          <w:szCs w:val="24"/>
          <w:highlight w:val="white"/>
          <w:u w:val="single"/>
          <w:lang w:val="en-US" w:eastAsia="zh-CN"/>
        </w:rPr>
        <w:t xml:space="preserve">3</w:t>
      </w:r>
      <w:r>
        <w:rPr>
          <w:rFonts w:hint="eastAsia" w:ascii="宋体" w:hAnsi="宋体"/>
          <w:b/>
          <w:bCs/>
          <w:color w:val="0000ff"/>
          <w:sz w:val="24"/>
          <w:szCs w:val="24"/>
          <w:highlight w:val="white"/>
          <w:u w:val="single"/>
          <w:lang w:val="en-US" w:eastAsia="zh-CN"/>
        </w:rPr>
        <w:t xml:space="preserve">0</w:t>
      </w:r>
      <w:r>
        <w:rPr>
          <w:rFonts w:hint="eastAsia" w:ascii="宋体" w:hAnsi="宋体"/>
          <w:b/>
          <w:bCs/>
          <w:color w:val="0000ff"/>
          <w:sz w:val="24"/>
          <w:szCs w:val="24"/>
          <w:highlight w:val="white"/>
          <w:u w:val="single"/>
        </w:rPr>
        <w:t xml:space="preserve">分（</w:t>
      </w:r>
      <w:r>
        <w:rPr>
          <w:rFonts w:hint="eastAsia" w:ascii="宋体" w:hAnsi="宋体"/>
          <w:b/>
          <w:bCs/>
          <w:color w:val="0000ff"/>
          <w:sz w:val="24"/>
          <w:szCs w:val="24"/>
          <w:highlight w:val="white"/>
        </w:rPr>
        <w:t xml:space="preserve">北京时间）前递交投标</w:t>
      </w:r>
      <w:r>
        <w:rPr>
          <w:rFonts w:ascii="宋体" w:hAnsi="宋体"/>
          <w:b/>
          <w:bCs/>
          <w:color w:val="0000ff"/>
          <w:sz w:val="24"/>
          <w:szCs w:val="24"/>
          <w:highlight w:val="white"/>
        </w:rPr>
        <w:t xml:space="preserve">文件</w:t>
      </w:r>
      <w:r>
        <w:rPr>
          <w:rFonts w:hint="eastAsia" w:ascii="宋体" w:hAnsi="宋体"/>
          <w:b/>
          <w:bCs/>
          <w:color w:val="0000ff"/>
          <w:sz w:val="24"/>
          <w:szCs w:val="24"/>
          <w:highlight w:val="white"/>
        </w:rPr>
        <w:t xml:space="preserve">。</w:t>
      </w:r>
      <w:r>
        <w:rPr>
          <w:highlight w:val="white"/>
        </w:rPr>
      </w:r>
      <w:r/>
    </w:p>
    <w:p>
      <w:pPr>
        <w:pStyle w:val="1228"/>
        <w:ind w:firstLine="373"/>
        <w:spacing w:before="120" w:after="120" w:line="440" w:lineRule="exact"/>
        <w:rPr>
          <w:color w:val="000000"/>
          <w:sz w:val="24"/>
          <w:szCs w:val="24"/>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bookmarkEnd w:id="11"/>
      <w:r/>
      <w:bookmarkStart w:id="12" w:name="_Toc35393791"/>
      <w:r/>
      <w:bookmarkStart w:id="13" w:name="_Toc38985264"/>
      <w:r/>
      <w:bookmarkStart w:id="14" w:name="_Toc28359003"/>
      <w:r/>
      <w:bookmarkStart w:id="15" w:name="_Toc35393622"/>
      <w:r/>
      <w:bookmarkStart w:id="16" w:name="_Toc28359080"/>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JSZC-321182-JJGS-G2026-0012</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镇江市扬中生态环境局空气自动站设备更新项目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25"/>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3.预算金额：2</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0万元；</w:t>
      </w:r>
      <w:r>
        <w:rPr>
          <w:rFonts w:ascii="宋体" w:hAnsi="宋体"/>
          <w:b/>
          <w:bCs/>
          <w:color w:val="000000"/>
          <w:sz w:val="24"/>
          <w:szCs w:val="24"/>
          <w:highlight w:val="none"/>
        </w:rPr>
      </w:r>
      <w:r/>
    </w:p>
    <w:p>
      <w:pPr>
        <w:pStyle w:val="122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最高限价，最高限价为254</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766</w:t>
      </w:r>
      <w:r>
        <w:rPr>
          <w:rFonts w:hint="eastAsia" w:ascii="宋体" w:hAnsi="宋体"/>
          <w:b/>
          <w:bCs/>
          <w:color w:val="000000"/>
          <w:sz w:val="24"/>
          <w:szCs w:val="24"/>
          <w:highlight w:val="none"/>
          <w:lang w:eastAsia="zh-CN"/>
        </w:rPr>
        <w:t xml:space="preserve">万</w:t>
      </w:r>
      <w:r>
        <w:rPr>
          <w:rFonts w:hint="eastAsia" w:ascii="宋体" w:hAnsi="宋体"/>
          <w:b/>
          <w:bCs/>
          <w:color w:val="000000"/>
          <w:sz w:val="24"/>
          <w:szCs w:val="24"/>
          <w:highlight w:val="none"/>
        </w:rPr>
        <w:t xml:space="preserve">元；</w:t>
      </w:r>
      <w:r>
        <w:rPr>
          <w:rFonts w:hint="eastAsia" w:ascii="宋体" w:hAnsi="宋体"/>
          <w:b/>
          <w:bCs/>
          <w:color w:val="000000"/>
          <w:sz w:val="24"/>
          <w:szCs w:val="24"/>
          <w:highlight w:val="none"/>
        </w:rPr>
      </w:r>
      <w:r/>
    </w:p>
    <w:p>
      <w:pPr>
        <w:pStyle w:val="122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镇江市扬中生态环境局空气自动站设备更新</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rPr>
          <w:rFonts w:hint="eastAsia" w:ascii="宋体" w:hAnsi="宋体"/>
          <w:color w:val="000000"/>
          <w:sz w:val="24"/>
          <w:szCs w:val="24"/>
          <w:highlight w:val="none"/>
          <w:u w:val="single"/>
        </w:rPr>
      </w:r>
      <w:r/>
    </w:p>
    <w:p>
      <w:pPr>
        <w:pStyle w:val="122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6.合同履行期限：</w:t>
      </w:r>
      <w:r>
        <w:rPr>
          <w:rFonts w:hint="eastAsia" w:ascii="宋体" w:hAnsi="宋体"/>
          <w:b/>
          <w:bCs/>
          <w:color w:val="000000"/>
          <w:sz w:val="24"/>
          <w:szCs w:val="24"/>
          <w:highlight w:val="none"/>
          <w:lang w:eastAsia="zh-CN"/>
        </w:rPr>
        <w:t xml:space="preserve">工期</w:t>
      </w:r>
      <w:r>
        <w:rPr>
          <w:rFonts w:hint="eastAsia" w:ascii="宋体" w:hAnsi="宋体"/>
          <w:b/>
          <w:bCs/>
          <w:color w:val="000000"/>
          <w:sz w:val="24"/>
          <w:szCs w:val="24"/>
          <w:highlight w:val="none"/>
          <w:lang w:val="en-US" w:eastAsia="zh-CN"/>
        </w:rPr>
        <w:t xml:space="preserve">120日历天内，</w:t>
      </w:r>
      <w:r>
        <w:rPr>
          <w:rFonts w:hint="eastAsia" w:ascii="宋体" w:hAnsi="宋体"/>
          <w:b/>
          <w:bCs/>
          <w:color w:val="000000"/>
          <w:sz w:val="24"/>
          <w:szCs w:val="24"/>
          <w:highlight w:val="none"/>
          <w:lang w:eastAsia="zh-CN"/>
        </w:rPr>
        <w:t xml:space="preserve">完成供货、安装调试并投入</w:t>
      </w:r>
      <w:r>
        <w:rPr>
          <w:rFonts w:hint="eastAsia" w:ascii="宋体" w:hAnsi="宋体"/>
          <w:b/>
          <w:bCs/>
          <w:color w:val="000000"/>
          <w:sz w:val="24"/>
          <w:szCs w:val="24"/>
          <w:highlight w:val="none"/>
          <w:lang w:val="en-US" w:eastAsia="zh-CN"/>
        </w:rPr>
        <w:t xml:space="preserve">试运行。</w:t>
      </w:r>
      <w:r>
        <w:rPr>
          <w:rFonts w:hint="eastAsia" w:ascii="宋体" w:hAnsi="宋体"/>
          <w:b/>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 本项目是否仅面向中小微企业：是□  否☑；</w:t>
      </w:r>
      <w:r>
        <w:rPr>
          <w:rFonts w:hint="eastAsia" w:ascii="宋体" w:hAnsi="宋体"/>
          <w:color w:val="000000"/>
          <w:sz w:val="24"/>
          <w:szCs w:val="24"/>
          <w:highlight w:val="none"/>
        </w:rPr>
      </w:r>
      <w:r/>
    </w:p>
    <w:p>
      <w:pPr>
        <w:pStyle w:val="1228"/>
        <w:ind w:firstLine="373"/>
        <w:spacing w:before="120" w:after="120" w:line="440" w:lineRule="exact"/>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1.满足《中华人民共和国政府法》第二十二条规定，并提供下列材料：</w:t>
      </w:r>
      <w:r>
        <w:rPr>
          <w:rFonts w:ascii="宋体" w:hAnsi="宋体"/>
          <w:color w:val="000000"/>
          <w:sz w:val="24"/>
          <w:szCs w:val="24"/>
          <w:highlight w:val="none"/>
        </w:rPr>
      </w:r>
      <w:r/>
    </w:p>
    <w:p>
      <w:pPr>
        <w:pStyle w:val="122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ascii="宋体" w:hAnsi="宋体"/>
          <w:color w:val="000000"/>
          <w:sz w:val="24"/>
          <w:szCs w:val="24"/>
          <w:highlight w:val="none"/>
        </w:rPr>
      </w:r>
      <w:r/>
    </w:p>
    <w:p>
      <w:pPr>
        <w:pStyle w:val="122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ascii="宋体" w:hAnsi="宋体"/>
          <w:color w:val="000000"/>
          <w:sz w:val="24"/>
          <w:szCs w:val="24"/>
          <w:highlight w:val="none"/>
        </w:rPr>
      </w:r>
      <w:r/>
    </w:p>
    <w:p>
      <w:pPr>
        <w:pStyle w:val="122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ascii="宋体" w:hAnsi="宋体"/>
          <w:color w:val="000000"/>
          <w:sz w:val="24"/>
          <w:szCs w:val="24"/>
          <w:highlight w:val="none"/>
        </w:rPr>
      </w:r>
      <w:r/>
    </w:p>
    <w:p>
      <w:pPr>
        <w:pStyle w:val="122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注：①按</w:t>
      </w:r>
      <w:r>
        <w:rPr>
          <w:rFonts w:ascii="宋体" w:hAnsi="宋体"/>
          <w:b/>
          <w:bCs/>
          <w:color w:val="000000"/>
          <w:sz w:val="24"/>
          <w:szCs w:val="24"/>
          <w:highlight w:val="none"/>
        </w:rPr>
        <w:t xml:space="preserve">扬财购〔</w:t>
      </w:r>
      <w:r>
        <w:rPr>
          <w:rFonts w:hint="eastAsia" w:ascii="宋体" w:hAnsi="宋体"/>
          <w:b/>
          <w:bCs/>
          <w:color w:val="000000"/>
          <w:sz w:val="24"/>
          <w:szCs w:val="24"/>
          <w:highlight w:val="none"/>
        </w:rPr>
        <w:t xml:space="preserve">2022</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号《关于进一步降低政府活动成本减轻政府</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负担的通知》</w:t>
      </w:r>
      <w:r>
        <w:rPr>
          <w:rFonts w:hint="eastAsia" w:ascii="宋体" w:hAnsi="宋体"/>
          <w:b/>
          <w:bCs/>
          <w:color w:val="000000"/>
          <w:sz w:val="24"/>
          <w:szCs w:val="24"/>
          <w:highlight w:val="none"/>
        </w:rPr>
        <w:t xml:space="preserve">本项目</w:t>
      </w:r>
      <w:r>
        <w:rPr>
          <w:rFonts w:ascii="宋体" w:hAnsi="宋体"/>
          <w:b/>
          <w:bCs/>
          <w:color w:val="000000"/>
          <w:sz w:val="24"/>
          <w:szCs w:val="24"/>
          <w:highlight w:val="none"/>
        </w:rPr>
        <w:t xml:space="preserve">申请人的资格条件采取</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信用承诺制</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bCs/>
          <w:color w:val="000000"/>
          <w:sz w:val="24"/>
          <w:szCs w:val="24"/>
          <w:highlight w:val="none"/>
        </w:rPr>
        <w:t xml:space="preserve">（见投标文件格式）</w:t>
      </w:r>
      <w:r>
        <w:rPr>
          <w:rFonts w:ascii="宋体" w:hAnsi="宋体"/>
          <w:b/>
          <w:bCs/>
          <w:color w:val="000000"/>
          <w:sz w:val="24"/>
          <w:szCs w:val="24"/>
          <w:highlight w:val="none"/>
        </w:rPr>
        <w:t xml:space="preserve">，在</w:t>
      </w:r>
      <w:r>
        <w:rPr>
          <w:rFonts w:hint="eastAsia" w:ascii="宋体" w:hAnsi="宋体"/>
          <w:b/>
          <w:bCs/>
          <w:color w:val="000000"/>
          <w:sz w:val="24"/>
          <w:szCs w:val="24"/>
          <w:highlight w:val="none"/>
        </w:rPr>
        <w:t xml:space="preserve">投标</w:t>
      </w:r>
      <w:r>
        <w:rPr>
          <w:rFonts w:ascii="宋体" w:hAnsi="宋体"/>
          <w:b/>
          <w:bCs/>
          <w:color w:val="000000"/>
          <w:sz w:val="24"/>
          <w:szCs w:val="24"/>
          <w:highlight w:val="none"/>
        </w:rPr>
        <w:t xml:space="preserve">文件中无需再提供与</w:t>
      </w:r>
      <w:r>
        <w:rPr>
          <w:rFonts w:hint="eastAsia" w:ascii="宋体" w:hAnsi="宋体"/>
          <w:b/>
          <w:bCs/>
          <w:color w:val="000000"/>
          <w:sz w:val="24"/>
          <w:szCs w:val="24"/>
          <w:highlight w:val="none"/>
        </w:rPr>
        <w:t xml:space="preserve">第B至第E项</w:t>
      </w:r>
      <w:r>
        <w:rPr>
          <w:rFonts w:ascii="宋体" w:hAnsi="宋体"/>
          <w:b/>
          <w:bCs/>
          <w:color w:val="000000"/>
          <w:sz w:val="24"/>
          <w:szCs w:val="24"/>
          <w:highlight w:val="none"/>
        </w:rPr>
        <w:t xml:space="preserve">相关的证明材料即可参加活动。</w:t>
      </w:r>
      <w:r>
        <w:rPr>
          <w:rFonts w:ascii="宋体" w:hAnsi="宋体"/>
          <w:b/>
          <w:bCs/>
          <w:color w:val="000000"/>
          <w:sz w:val="24"/>
          <w:szCs w:val="24"/>
          <w:highlight w:val="none"/>
        </w:rPr>
      </w:r>
      <w:r/>
    </w:p>
    <w:p>
      <w:pPr>
        <w:pStyle w:val="1225"/>
        <w:ind w:firstLine="56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可自行选择是否提供承诺函，若不提供承诺函的，应按招标文件要求提供相应的证明材料。</w:t>
      </w:r>
      <w:r>
        <w:rPr>
          <w:rFonts w:hint="eastAsia" w:ascii="宋体" w:hAnsi="宋体"/>
          <w:b/>
          <w:bCs/>
          <w:color w:val="000000"/>
          <w:sz w:val="24"/>
          <w:szCs w:val="24"/>
          <w:highlight w:val="none"/>
        </w:rPr>
      </w:r>
      <w:r/>
    </w:p>
    <w:p>
      <w:pPr>
        <w:pStyle w:val="122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③</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应当</w:t>
      </w:r>
      <w:r>
        <w:rPr>
          <w:rFonts w:hint="eastAsia" w:ascii="宋体" w:hAnsi="宋体"/>
          <w:b/>
          <w:bCs/>
          <w:color w:val="000000"/>
          <w:sz w:val="24"/>
          <w:szCs w:val="24"/>
          <w:highlight w:val="none"/>
        </w:rPr>
        <w:t xml:space="preserve">遵循诚实</w:t>
      </w:r>
      <w:r>
        <w:rPr>
          <w:rFonts w:ascii="宋体" w:hAnsi="宋体"/>
          <w:b/>
          <w:bCs/>
          <w:color w:val="000000"/>
          <w:sz w:val="24"/>
          <w:szCs w:val="24"/>
          <w:highlight w:val="none"/>
        </w:rPr>
        <w:t xml:space="preserve">信用原则，不得作虚假承诺。</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承诺不实的，属于提供虚假材料谋取中标、成交，应承担相应的法律责任。</w:t>
      </w:r>
      <w:r>
        <w:rPr>
          <w:rFonts w:ascii="宋体" w:hAnsi="宋体"/>
          <w:b/>
          <w:bCs/>
          <w:color w:val="000000"/>
          <w:sz w:val="24"/>
          <w:szCs w:val="24"/>
          <w:highlight w:val="none"/>
        </w:rPr>
      </w:r>
      <w:r/>
    </w:p>
    <w:p>
      <w:pPr>
        <w:pStyle w:val="1225"/>
        <w:ind w:firstLine="480"/>
        <w:spacing w:line="44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3.落实政府政策需满足的资格要求：</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color w:val="000000"/>
          <w:sz w:val="24"/>
          <w:szCs w:val="24"/>
          <w:highlight w:val="none"/>
          <w:lang w:eastAsia="zh-CN"/>
        </w:rPr>
        <w:t xml:space="preserve">工业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225"/>
        <w:ind w:firstLine="482"/>
        <w:spacing w:line="44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单位负责人为同一人或者存在直接控股、管理关系的不同供应商，不得参加同一合同项下的政府采购活动（提供承诺函，格式自拟）。</w:t>
      </w:r>
      <w:r>
        <w:rPr>
          <w:rFonts w:hint="eastAsia" w:ascii="宋体" w:hAnsi="宋体" w:eastAsia="宋体" w:cs="Times New Roman"/>
          <w:b/>
          <w:bCs/>
          <w:color w:val="000000"/>
          <w:sz w:val="24"/>
          <w:szCs w:val="24"/>
          <w:highlight w:val="none"/>
          <w:lang w:eastAsia="zh-CN"/>
        </w:rPr>
      </w:r>
      <w:r/>
    </w:p>
    <w:p>
      <w:pPr>
        <w:pStyle w:val="1228"/>
        <w:ind w:firstLine="373"/>
        <w:keepLines w:val="0"/>
        <w:keepNext w:val="0"/>
        <w:pageBreakBefore w:val="0"/>
        <w:spacing w:before="120" w:after="120" w:line="440" w:lineRule="exact"/>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25"/>
        <w:ind w:firstLine="540"/>
        <w:keepLines w:val="0"/>
        <w:keepNext w:val="0"/>
        <w:pageBreakBefore w:val="0"/>
        <w:spacing w:line="440" w:lineRule="exact"/>
        <w:widowControl w:val="off"/>
        <w:rPr>
          <w:rFonts w:ascii="宋体" w:hAnsi="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225"/>
        <w:ind w:firstLine="540"/>
        <w:keepLines w:val="0"/>
        <w:keepNext w:val="0"/>
        <w:pageBreakBefore w:val="0"/>
        <w:spacing w:line="440" w:lineRule="exact"/>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rPr>
          <w:rFonts w:ascii="宋体" w:hAnsi="宋体" w:cs="宋体"/>
          <w:color w:val="000000"/>
          <w:sz w:val="24"/>
          <w:szCs w:val="24"/>
          <w:highlight w:val="none"/>
          <w:u w:val="single"/>
        </w:rPr>
      </w:r>
      <w:r/>
    </w:p>
    <w:p>
      <w:pPr>
        <w:pStyle w:val="122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rPr>
          <w:rFonts w:hint="eastAsia" w:ascii="宋体" w:hAnsi="宋体" w:cs="宋体"/>
          <w:color w:val="000000"/>
          <w:sz w:val="24"/>
          <w:szCs w:val="24"/>
          <w:highlight w:val="none"/>
        </w:rPr>
      </w:r>
      <w:r/>
    </w:p>
    <w:p>
      <w:pPr>
        <w:pStyle w:val="122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225"/>
        <w:ind w:firstLine="560"/>
        <w:keepLines w:val="0"/>
        <w:keepNext w:val="0"/>
        <w:pageBreakBefore w:val="0"/>
        <w:spacing w:line="440" w:lineRule="exact"/>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228"/>
        <w:ind w:firstLine="373"/>
        <w:spacing w:before="120" w:after="120" w:line="440" w:lineRule="exact"/>
        <w:rPr>
          <w:color w:val="000000"/>
          <w:sz w:val="24"/>
          <w:szCs w:val="24"/>
          <w:highlight w:val="none"/>
        </w:rPr>
      </w:pPr>
      <w:r>
        <w:rPr>
          <w:rFonts w:hint="eastAsia"/>
          <w:color w:val="000000"/>
          <w:sz w:val="24"/>
          <w:szCs w:val="24"/>
          <w:highlight w:val="none"/>
        </w:rPr>
        <w:t xml:space="preserve">四、提交投标文件</w:t>
      </w:r>
      <w:bookmarkEnd w:id="22"/>
      <w:r/>
      <w:bookmarkEnd w:id="23"/>
      <w:r>
        <w:rPr>
          <w:rFonts w:hint="eastAsia"/>
          <w:color w:val="000000"/>
          <w:sz w:val="24"/>
          <w:szCs w:val="24"/>
          <w:highlight w:val="none"/>
        </w:rPr>
        <w:t xml:space="preserve">截止时间、开标时间和地点</w:t>
      </w:r>
      <w:bookmarkEnd w:id="24"/>
      <w:r/>
      <w:bookmarkEnd w:id="25"/>
      <w:r/>
      <w:bookmarkEnd w:id="26"/>
      <w:r>
        <w:rPr>
          <w:color w:val="000000"/>
          <w:sz w:val="24"/>
          <w:szCs w:val="24"/>
          <w:highlight w:val="none"/>
        </w:rPr>
      </w:r>
      <w:r/>
    </w:p>
    <w:p>
      <w:pPr>
        <w:pStyle w:val="1225"/>
        <w:ind w:firstLine="480"/>
        <w:spacing w:line="440" w:lineRule="exact"/>
        <w:rPr>
          <w:rFonts w:ascii="宋体" w:hAnsi="宋体"/>
          <w:bCs/>
          <w:color w:val="ff0000"/>
          <w:sz w:val="24"/>
          <w:szCs w:val="24"/>
          <w:highlight w:val="white"/>
          <w:u w:val="single"/>
        </w:rPr>
      </w:pPr>
      <w:r>
        <w:rPr>
          <w:rFonts w:hint="eastAsia" w:ascii="宋体" w:hAnsi="宋体"/>
          <w:bCs/>
          <w:color w:val="ff0000"/>
          <w:sz w:val="24"/>
          <w:szCs w:val="24"/>
          <w:highlight w:val="white"/>
          <w:u w:val="single"/>
        </w:rPr>
        <w:t xml:space="preserve">1. </w:t>
      </w:r>
      <w:r>
        <w:rPr>
          <w:rFonts w:hint="eastAsia" w:ascii="宋体" w:hAnsi="宋体"/>
          <w:b/>
          <w:color w:val="ff0000"/>
          <w:sz w:val="24"/>
          <w:szCs w:val="24"/>
          <w:highlight w:val="white"/>
          <w:u w:val="single"/>
          <w:lang w:eastAsia="zh-CN"/>
        </w:rPr>
        <w:t xml:space="preserve">2026</w:t>
      </w:r>
      <w:r>
        <w:rPr>
          <w:rFonts w:hint="eastAsia" w:ascii="宋体" w:hAnsi="宋体"/>
          <w:b/>
          <w:color w:val="ff0000"/>
          <w:sz w:val="24"/>
          <w:szCs w:val="24"/>
          <w:highlight w:val="white"/>
          <w:u w:val="single"/>
        </w:rPr>
        <w:t xml:space="preserve">年</w:t>
      </w:r>
      <w:r>
        <w:rPr>
          <w:rFonts w:hint="eastAsia" w:ascii="宋体" w:hAnsi="宋体"/>
          <w:b/>
          <w:color w:val="ff0000"/>
          <w:sz w:val="24"/>
          <w:szCs w:val="24"/>
          <w:highlight w:val="white"/>
          <w:u w:val="single"/>
          <w:lang w:val="en-US" w:eastAsia="zh-CN"/>
        </w:rPr>
        <w:t xml:space="preserve">9</w:t>
      </w:r>
      <w:r>
        <w:rPr>
          <w:rFonts w:hint="eastAsia" w:ascii="宋体" w:hAnsi="宋体"/>
          <w:b/>
          <w:color w:val="ff0000"/>
          <w:sz w:val="24"/>
          <w:szCs w:val="24"/>
          <w:highlight w:val="white"/>
          <w:u w:val="single"/>
        </w:rPr>
        <w:t xml:space="preserve">月</w:t>
      </w:r>
      <w:r>
        <w:rPr>
          <w:rFonts w:hint="eastAsia" w:ascii="宋体" w:hAnsi="宋体"/>
          <w:b/>
          <w:color w:val="ff0000"/>
          <w:sz w:val="24"/>
          <w:szCs w:val="24"/>
          <w:highlight w:val="white"/>
          <w:u w:val="single"/>
          <w:lang w:val="en-US" w:eastAsia="zh-CN"/>
        </w:rPr>
        <w:t xml:space="preserve"> </w:t>
      </w:r>
      <w:r>
        <w:rPr>
          <w:rFonts w:hint="eastAsia" w:ascii="宋体" w:hAnsi="宋体"/>
          <w:b/>
          <w:color w:val="ff0000"/>
          <w:sz w:val="24"/>
          <w:szCs w:val="24"/>
          <w:highlight w:val="white"/>
          <w:u w:val="single"/>
          <w:lang w:val="en-US" w:eastAsia="zh-CN"/>
        </w:rPr>
        <w:t xml:space="preserve">2</w:t>
      </w:r>
      <w:r>
        <w:rPr>
          <w:rFonts w:hint="eastAsia" w:ascii="宋体" w:hAnsi="宋体"/>
          <w:b/>
          <w:color w:val="ff0000"/>
          <w:sz w:val="24"/>
          <w:szCs w:val="24"/>
          <w:highlight w:val="white"/>
          <w:u w:val="single"/>
        </w:rPr>
        <w:t xml:space="preserve">日 </w:t>
      </w:r>
      <w:r>
        <w:rPr>
          <w:rFonts w:hint="eastAsia" w:ascii="宋体" w:hAnsi="宋体"/>
          <w:b/>
          <w:color w:val="ff0000"/>
          <w:sz w:val="24"/>
          <w:szCs w:val="24"/>
          <w:highlight w:val="white"/>
          <w:u w:val="single"/>
          <w:lang w:val="en-US" w:eastAsia="zh-CN"/>
        </w:rPr>
        <w:t xml:space="preserve">1</w:t>
      </w:r>
      <w:r>
        <w:rPr>
          <w:rFonts w:hint="eastAsia" w:ascii="宋体" w:hAnsi="宋体"/>
          <w:b/>
          <w:color w:val="ff0000"/>
          <w:sz w:val="24"/>
          <w:szCs w:val="24"/>
          <w:highlight w:val="white"/>
          <w:u w:val="single"/>
          <w:lang w:val="en-US" w:eastAsia="zh-CN"/>
        </w:rPr>
        <w:t xml:space="preserve">4</w:t>
      </w:r>
      <w:r>
        <w:rPr>
          <w:rFonts w:hint="eastAsia" w:ascii="宋体" w:hAnsi="宋体"/>
          <w:b/>
          <w:color w:val="ff0000"/>
          <w:sz w:val="24"/>
          <w:szCs w:val="24"/>
          <w:highlight w:val="white"/>
          <w:u w:val="single"/>
        </w:rPr>
        <w:t xml:space="preserve">点</w:t>
      </w:r>
      <w:r>
        <w:rPr>
          <w:rFonts w:hint="eastAsia" w:ascii="宋体" w:hAnsi="宋体"/>
          <w:b/>
          <w:color w:val="ff0000"/>
          <w:sz w:val="24"/>
          <w:szCs w:val="24"/>
          <w:highlight w:val="white"/>
          <w:u w:val="single"/>
          <w:lang w:val="en-US" w:eastAsia="zh-CN"/>
        </w:rPr>
        <w:t xml:space="preserve">3</w:t>
      </w:r>
      <w:r>
        <w:rPr>
          <w:rFonts w:hint="eastAsia" w:ascii="宋体" w:hAnsi="宋体"/>
          <w:b/>
          <w:color w:val="ff0000"/>
          <w:sz w:val="24"/>
          <w:szCs w:val="24"/>
          <w:highlight w:val="white"/>
          <w:u w:val="single"/>
          <w:lang w:val="en-US" w:eastAsia="zh-CN"/>
        </w:rPr>
        <w:t xml:space="preserve">0</w:t>
      </w:r>
      <w:r>
        <w:rPr>
          <w:rFonts w:hint="eastAsia" w:ascii="宋体" w:hAnsi="宋体"/>
          <w:b/>
          <w:color w:val="ff0000"/>
          <w:sz w:val="24"/>
          <w:szCs w:val="24"/>
          <w:highlight w:val="white"/>
          <w:u w:val="single"/>
        </w:rPr>
        <w:t xml:space="preserve">分</w:t>
      </w:r>
      <w:r>
        <w:rPr>
          <w:rFonts w:hint="eastAsia" w:ascii="宋体" w:hAnsi="宋体"/>
          <w:b/>
          <w:color w:val="ff0000"/>
          <w:sz w:val="24"/>
          <w:szCs w:val="24"/>
          <w:highlight w:val="white"/>
        </w:rPr>
        <w:t xml:space="preserve">（北京时间）。</w:t>
      </w:r>
      <w:r>
        <w:rPr>
          <w:color w:val="ff0000"/>
          <w:highlight w:val="whit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rPr>
          <w:rFonts w:hint="eastAsia" w:ascii="宋体" w:hAnsi="宋体"/>
          <w:color w:val="000000"/>
          <w:sz w:val="24"/>
          <w:szCs w:val="24"/>
          <w:highlight w:val="none"/>
        </w:rPr>
      </w:r>
      <w:r/>
    </w:p>
    <w:p>
      <w:pPr>
        <w:pStyle w:val="122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highlight w:val="none"/>
        </w:rPr>
      </w:r>
      <w:r/>
    </w:p>
    <w:p>
      <w:pPr>
        <w:pStyle w:val="122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22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228"/>
        <w:ind w:firstLine="373"/>
        <w:spacing w:before="120" w:after="120" w:line="440" w:lineRule="exact"/>
        <w:rPr>
          <w:color w:val="000000"/>
          <w:sz w:val="24"/>
          <w:szCs w:val="24"/>
          <w:highlight w:val="none"/>
        </w:rPr>
      </w:pPr>
      <w:r/>
      <w:bookmarkStart w:id="27" w:name="_Toc35393625"/>
      <w:r/>
      <w:bookmarkStart w:id="28" w:name="_Toc28359084"/>
      <w:r/>
      <w:bookmarkStart w:id="29" w:name="_Toc38985267"/>
      <w:r/>
      <w:bookmarkStart w:id="30" w:name="_Toc35393794"/>
      <w:r/>
      <w:bookmarkStart w:id="31" w:name="_Toc28359007"/>
      <w:r>
        <w:rPr>
          <w:rFonts w:hint="eastAsia"/>
          <w:color w:val="000000"/>
          <w:sz w:val="24"/>
          <w:szCs w:val="24"/>
          <w:highlight w:val="none"/>
        </w:rPr>
        <w:t xml:space="preserve">五、公告期限</w:t>
      </w:r>
      <w:bookmarkEnd w:id="27"/>
      <w:r/>
      <w:bookmarkEnd w:id="28"/>
      <w:r/>
      <w:bookmarkEnd w:id="29"/>
      <w:r/>
      <w:bookmarkEnd w:id="30"/>
      <w:r/>
      <w:bookmarkEnd w:id="31"/>
      <w:r>
        <w:rPr>
          <w:color w:val="000000"/>
          <w:sz w:val="24"/>
          <w:szCs w:val="24"/>
          <w:highlight w:val="none"/>
        </w:rPr>
      </w:r>
      <w:r/>
    </w:p>
    <w:p>
      <w:pPr>
        <w:pStyle w:val="1225"/>
        <w:ind w:firstLine="480"/>
        <w:spacing w:line="44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招标公告及招标文件公告期限为自本公告发布之日起5</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1228"/>
        <w:ind w:firstLine="373"/>
        <w:spacing w:before="120" w:after="120" w:line="440" w:lineRule="exact"/>
        <w:rPr>
          <w:color w:val="000000"/>
          <w:sz w:val="24"/>
          <w:szCs w:val="24"/>
          <w:highlight w:val="none"/>
        </w:rPr>
      </w:pPr>
      <w:r>
        <w:rPr>
          <w:rFonts w:hint="eastAsia"/>
          <w:color w:val="000000"/>
          <w:sz w:val="24"/>
          <w:szCs w:val="24"/>
          <w:highlight w:val="none"/>
        </w:rPr>
        <w:t xml:space="preserve">六、其他补充事宜</w:t>
      </w:r>
      <w:bookmarkEnd w:id="32"/>
      <w:r/>
      <w:bookmarkEnd w:id="33"/>
      <w:r/>
      <w:bookmarkEnd w:id="34"/>
      <w:r>
        <w:rPr>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rPr>
      </w:pPr>
      <w:r/>
      <w:bookmarkStart w:id="35" w:name="_Toc38985269"/>
      <w:r/>
      <w:bookmarkStart w:id="36" w:name="_Toc28359008"/>
      <w:r/>
      <w:bookmarkStart w:id="37" w:name="_Toc28359085"/>
      <w:r/>
      <w:bookmarkStart w:id="38" w:name="_Toc35393796"/>
      <w:r/>
      <w:bookmarkStart w:id="39" w:name="_Toc35393627"/>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自行查明或核实有关编制磋商响应文件和签订合同所必需的资料。</w:t>
      </w:r>
      <w:r>
        <w:rPr>
          <w:rFonts w:hint="eastAsia" w:ascii="宋体" w:hAnsi="宋体" w:cs="宋体"/>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1228"/>
        <w:numPr>
          <w:ilvl w:val="0"/>
          <w:numId w:val="5"/>
        </w:numPr>
        <w:ind w:firstLine="373"/>
        <w:spacing w:before="120" w:after="120" w:line="440" w:lineRule="exact"/>
        <w:rPr>
          <w:rFonts w:hint="eastAsia"/>
          <w:color w:val="000000"/>
          <w:sz w:val="24"/>
          <w:szCs w:val="24"/>
          <w:highlight w:val="none"/>
        </w:rPr>
      </w:pPr>
      <w:r>
        <w:rPr>
          <w:rFonts w:hint="eastAsia"/>
          <w:color w:val="000000"/>
          <w:sz w:val="24"/>
          <w:szCs w:val="24"/>
          <w:highlight w:val="none"/>
        </w:rPr>
        <w:t xml:space="preserve">本次招标联系方式</w:t>
      </w:r>
      <w:bookmarkEnd w:id="35"/>
      <w:r/>
      <w:bookmarkEnd w:id="36"/>
      <w:r/>
      <w:bookmarkEnd w:id="37"/>
      <w:r/>
      <w:bookmarkEnd w:id="38"/>
      <w:r/>
      <w:bookmarkEnd w:id="39"/>
      <w:r>
        <w:rPr>
          <w:rFonts w:hint="eastAsia"/>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225"/>
        <w:ind w:firstLine="480"/>
        <w:jc w:val="left"/>
        <w:spacing w:line="440" w:lineRule="exact"/>
        <w:rPr>
          <w:rFonts w:hint="eastAsia" w:ascii="宋体" w:hAnsi="宋体" w:eastAsia="宋体" w:cs="宋体"/>
          <w:color w:val="000000"/>
          <w:sz w:val="24"/>
          <w:szCs w:val="24"/>
          <w:highlight w:val="none"/>
          <w:lang w:eastAsia="zh-CN"/>
        </w:rPr>
      </w:pPr>
      <w:r/>
      <w:bookmarkStart w:id="40" w:name="_Toc28359086"/>
      <w:r/>
      <w:bookmarkStart w:id="41" w:name="_Toc28359009"/>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 镇江市扬中生态环境局</w:t>
      </w:r>
      <w:r>
        <w:rPr>
          <w:rFonts w:hint="eastAsia" w:ascii="宋体" w:hAnsi="宋体" w:eastAsia="宋体" w:cs="宋体"/>
          <w:color w:val="000000"/>
          <w:sz w:val="24"/>
          <w:szCs w:val="24"/>
          <w:highlight w:val="none"/>
          <w:lang w:eastAsia="zh-CN"/>
        </w:rPr>
      </w:r>
      <w:r/>
    </w:p>
    <w:p>
      <w:pPr>
        <w:pStyle w:val="1225"/>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lang w:val="en-GB"/>
        </w:rPr>
        <w:t xml:space="preserve">镇江市扬中市三茅街道江洲西路195-18号</w:t>
      </w:r>
      <w:r>
        <w:rPr>
          <w:rFonts w:hint="eastAsia" w:ascii="宋体" w:hAnsi="宋体" w:cs="宋体"/>
          <w:color w:val="000000"/>
          <w:sz w:val="24"/>
          <w:szCs w:val="24"/>
          <w:highlight w:val="none"/>
          <w:u w:val="single"/>
        </w:rPr>
      </w:r>
      <w:r/>
    </w:p>
    <w:p>
      <w:pPr>
        <w:pStyle w:val="1225"/>
        <w:ind w:firstLine="480"/>
        <w:jc w:val="left"/>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lang w:eastAsia="zh-CN"/>
        </w:rPr>
        <w:t xml:space="preserve">蒋翔宇</w:t>
      </w:r>
      <w:r>
        <w:rPr>
          <w:rFonts w:hint="eastAsia" w:ascii="宋体" w:hAnsi="宋体" w:eastAsia="宋体" w:cs="宋体"/>
          <w:color w:val="000000"/>
          <w:sz w:val="24"/>
          <w:szCs w:val="24"/>
          <w:highlight w:val="none"/>
          <w:lang w:eastAsia="zh-CN"/>
        </w:rPr>
      </w:r>
      <w:r/>
    </w:p>
    <w:p>
      <w:pPr>
        <w:pStyle w:val="1225"/>
        <w:ind w:firstLine="480"/>
        <w:jc w:val="left"/>
        <w:spacing w:line="440" w:lineRule="exact"/>
        <w:rPr>
          <w:rFonts w:hint="eastAsia" w:ascii="宋体" w:hAnsi="宋体" w:cs="宋体"/>
          <w:color w:val="000000"/>
          <w:sz w:val="24"/>
          <w:szCs w:val="24"/>
          <w:highlight w:val="none"/>
          <w:u w:val="singl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lang w:val="en-US" w:eastAsia="zh-CN"/>
        </w:rPr>
        <w:t xml:space="preserve">13921568539</w:t>
      </w:r>
      <w:r>
        <w:rPr>
          <w:rFonts w:hint="eastAsia" w:ascii="宋体" w:hAnsi="宋体" w:cs="宋体"/>
          <w:color w:val="000000"/>
          <w:sz w:val="24"/>
          <w:szCs w:val="24"/>
          <w:highlight w:val="none"/>
          <w:u w:val="single"/>
          <w:lang w:val="en-US" w:eastAsia="zh-CN"/>
        </w:rPr>
      </w:r>
      <w:r/>
    </w:p>
    <w:p>
      <w:pPr>
        <w:pStyle w:val="122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225"/>
        <w:ind w:firstLine="480"/>
        <w:spacing w:line="440" w:lineRule="exact"/>
        <w:rPr>
          <w:rFonts w:hint="eastAsia" w:ascii="宋体" w:hAnsi="宋体" w:cs="宋体"/>
          <w:color w:val="000000"/>
          <w:sz w:val="24"/>
          <w:szCs w:val="24"/>
          <w:highlight w:val="none"/>
          <w:u w:val="single"/>
        </w:rPr>
        <w:outlineLvl w:val="2"/>
      </w:pPr>
      <w:r/>
      <w:bookmarkEnd w:id="40"/>
      <w:r/>
      <w:bookmarkEnd w:id="41"/>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22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张梦雅</w:t>
      </w:r>
      <w:r>
        <w:rPr>
          <w:rFonts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2" w:name="_Toc28359010"/>
      <w:r/>
      <w:bookmarkStart w:id="43" w:name="_Toc28359087"/>
      <w:r>
        <w:rPr>
          <w:rFonts w:hint="eastAsia" w:ascii="宋体" w:hAnsi="宋体"/>
          <w:color w:val="000000"/>
          <w:sz w:val="24"/>
          <w:szCs w:val="24"/>
          <w:highlight w:val="none"/>
          <w:u w:val="single"/>
        </w:rPr>
        <w:t xml:space="preserve">19814712528</w:t>
      </w:r>
      <w:r>
        <w:rPr>
          <w:rFonts w:hint="eastAsia" w:ascii="宋体" w:hAnsi="宋体"/>
          <w:color w:val="000000"/>
          <w:sz w:val="24"/>
          <w:szCs w:val="24"/>
          <w:highlight w:val="none"/>
        </w:rPr>
      </w:r>
      <w:r/>
    </w:p>
    <w:p>
      <w:pPr>
        <w:pStyle w:val="1228"/>
        <w:ind w:firstLine="373"/>
        <w:spacing w:before="120" w:after="120" w:line="440" w:lineRule="exact"/>
        <w:rPr>
          <w:color w:val="000000"/>
          <w:sz w:val="24"/>
          <w:szCs w:val="24"/>
          <w:highlight w:val="none"/>
        </w:rPr>
      </w:pPr>
      <w:r/>
      <w:bookmarkEnd w:id="42"/>
      <w:r/>
      <w:bookmarkEnd w:id="43"/>
      <w:r>
        <w:rPr>
          <w:rFonts w:hint="eastAsia"/>
          <w:color w:val="000000"/>
          <w:sz w:val="24"/>
          <w:szCs w:val="24"/>
          <w:highlight w:val="none"/>
        </w:rPr>
        <w:t xml:space="preserve">八、其他</w:t>
      </w:r>
      <w:r>
        <w:rPr>
          <w:color w:val="000000"/>
          <w:sz w:val="24"/>
          <w:szCs w:val="24"/>
          <w:highlight w:val="none"/>
        </w:rPr>
      </w:r>
      <w:r/>
    </w:p>
    <w:p>
      <w:pPr>
        <w:pStyle w:val="122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有关本次招标的事项若存在变动或修改，敬请及时关注“江苏政府网”、“扬中政府网”发布的更正公告。</w:t>
      </w:r>
      <w:r>
        <w:rPr>
          <w:rFonts w:hint="eastAsia" w:ascii="宋体" w:hAnsi="宋体"/>
          <w:bCs/>
          <w:color w:val="000000"/>
          <w:sz w:val="24"/>
          <w:szCs w:val="24"/>
          <w:highlight w:val="none"/>
        </w:rPr>
      </w:r>
      <w:r/>
    </w:p>
    <w:p>
      <w:pPr>
        <w:pStyle w:val="122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25"/>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4"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color w:val="000000"/>
          <w:sz w:val="32"/>
          <w:szCs w:val="32"/>
          <w:highlight w:val="none"/>
        </w:rPr>
        <w:t xml:space="preserve">投标人须知</w:t>
      </w:r>
      <w:bookmarkEnd w:id="45"/>
      <w:r/>
      <w:bookmarkEnd w:id="46"/>
      <w:r/>
      <w:bookmarkEnd w:id="47"/>
      <w:r/>
      <w:bookmarkEnd w:id="48"/>
      <w:r>
        <w:rPr>
          <w:rFonts w:hint="eastAsia" w:ascii="黑体" w:eastAsia="黑体"/>
          <w:b/>
          <w:bCs/>
          <w:color w:val="000000"/>
          <w:highlight w:val="none"/>
        </w:rPr>
      </w:r>
      <w:r/>
    </w:p>
    <w:p>
      <w:pPr>
        <w:pStyle w:val="1228"/>
        <w:ind w:firstLine="373"/>
        <w:spacing w:before="120" w:after="120" w:line="440" w:lineRule="exact"/>
        <w:rPr>
          <w:rFonts w:hint="eastAsia"/>
          <w:color w:val="000000"/>
          <w:sz w:val="24"/>
          <w:szCs w:val="24"/>
          <w:highlight w:val="none"/>
        </w:rPr>
      </w:pPr>
      <w:r/>
      <w:bookmarkStart w:id="49" w:name="_Toc513029203"/>
      <w:r/>
      <w:bookmarkStart w:id="50" w:name="_Toc16938519"/>
      <w:r/>
      <w:bookmarkStart w:id="51" w:name="_Toc120614214"/>
      <w:r/>
      <w:bookmarkStart w:id="52" w:name="_Toc20823275"/>
      <w:r>
        <w:rPr>
          <w:rFonts w:hint="eastAsia"/>
          <w:color w:val="000000"/>
          <w:sz w:val="24"/>
          <w:szCs w:val="24"/>
          <w:highlight w:val="none"/>
        </w:rPr>
        <w:t xml:space="preserve">一、总则</w:t>
      </w:r>
      <w:bookmarkEnd w:id="49"/>
      <w:r/>
      <w:bookmarkEnd w:id="50"/>
      <w:r/>
      <w:bookmarkEnd w:id="51"/>
      <w:r/>
      <w:bookmarkEnd w:id="52"/>
      <w:r>
        <w:rPr>
          <w:rFonts w:hint="eastAsia"/>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sz w:val="24"/>
          <w:szCs w:val="24"/>
          <w:highlight w:val="none"/>
        </w:rPr>
        <w:t xml:space="preserve">1</w:t>
      </w:r>
      <w:bookmarkEnd w:id="54"/>
      <w:r>
        <w:rPr>
          <w:rFonts w:hint="eastAsia"/>
          <w:b w:val="0"/>
          <w:bCs w:val="0"/>
          <w:color w:val="000000"/>
          <w:sz w:val="24"/>
          <w:szCs w:val="24"/>
          <w:highlight w:val="none"/>
        </w:rPr>
        <w:t xml:space="preserve">、招标方式</w:t>
      </w:r>
      <w:bookmarkEnd w:id="55"/>
      <w:r/>
      <w:bookmarkEnd w:id="56"/>
      <w:r/>
      <w:bookmarkEnd w:id="57"/>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229"/>
        <w:ind w:firstLine="360"/>
        <w:spacing w:before="0" w:after="0" w:line="440" w:lineRule="exact"/>
        <w:rPr>
          <w:rFonts w:hint="eastAsia"/>
          <w:b w:val="0"/>
          <w:bCs w:val="0"/>
          <w:color w:val="000000"/>
          <w:sz w:val="24"/>
          <w:szCs w:val="24"/>
          <w:highlight w:val="none"/>
        </w:rPr>
      </w:pPr>
      <w:r/>
      <w:bookmarkStart w:id="58" w:name="_Toc20823277"/>
      <w:r/>
      <w:bookmarkStart w:id="59" w:name="_Toc16938521"/>
      <w:r/>
      <w:bookmarkStart w:id="60" w:name="_Toc513029205"/>
      <w:r>
        <w:rPr>
          <w:rFonts w:hint="eastAsia"/>
          <w:b w:val="0"/>
          <w:bCs w:val="0"/>
          <w:color w:val="000000"/>
          <w:sz w:val="24"/>
          <w:szCs w:val="24"/>
          <w:highlight w:val="none"/>
        </w:rPr>
        <w:t xml:space="preserve">2、合格的投标人</w:t>
      </w:r>
      <w:bookmarkEnd w:id="58"/>
      <w:r/>
      <w:bookmarkEnd w:id="59"/>
      <w:r/>
      <w:bookmarkEnd w:id="60"/>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229"/>
        <w:ind w:firstLine="360"/>
        <w:spacing w:before="0" w:after="0" w:line="440" w:lineRule="exact"/>
        <w:rPr>
          <w:b w:val="0"/>
          <w:bCs w:val="0"/>
          <w:color w:val="000000"/>
          <w:sz w:val="24"/>
          <w:szCs w:val="24"/>
          <w:highlight w:val="none"/>
        </w:rPr>
      </w:pPr>
      <w:r/>
      <w:bookmarkStart w:id="61" w:name="_Toc20823278"/>
      <w:r/>
      <w:bookmarkStart w:id="62" w:name="_Toc16938522"/>
      <w:r/>
      <w:bookmarkStart w:id="63" w:name="_Toc513029206"/>
      <w:r>
        <w:rPr>
          <w:rFonts w:hint="eastAsia"/>
          <w:b w:val="0"/>
          <w:bCs w:val="0"/>
          <w:color w:val="000000"/>
          <w:sz w:val="24"/>
          <w:szCs w:val="24"/>
          <w:highlight w:val="none"/>
        </w:rPr>
        <w:t xml:space="preserve">3、适用法律</w:t>
      </w:r>
      <w:bookmarkEnd w:id="61"/>
      <w:r/>
      <w:bookmarkEnd w:id="62"/>
      <w:r/>
      <w:bookmarkEnd w:id="63"/>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225"/>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highlight w:val="none"/>
        </w:rPr>
        <w:t xml:space="preserve">10%-20%</w:t>
      </w:r>
      <w:bookmarkEnd w:id="64"/>
      <w:r>
        <w:rPr>
          <w:rFonts w:hint="eastAsia" w:ascii="宋体" w:hAnsi="宋体"/>
          <w:color w:val="000000"/>
          <w:sz w:val="24"/>
          <w:highlight w:val="none"/>
        </w:rPr>
        <w:t xml:space="preserve">的扣除，</w:t>
      </w:r>
      <w:bookmarkStart w:id="65" w:name="_Hlk132637893"/>
      <w:r>
        <w:rPr>
          <w:rFonts w:hint="eastAsia" w:ascii="宋体" w:hAnsi="宋体"/>
          <w:color w:val="000000"/>
          <w:sz w:val="24"/>
          <w:highlight w:val="none"/>
        </w:rPr>
        <w:t xml:space="preserve">用扣除后的价格参与评审</w:t>
      </w:r>
      <w:bookmarkEnd w:id="65"/>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highlight w:val="none"/>
        </w:rPr>
        <w:t xml:space="preserve">（财办库〔2020〕123号）</w:t>
      </w:r>
      <w:bookmarkEnd w:id="66"/>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本项目实施本国产品标准及相关政策【《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（1）本项目对采购本国产品给予政策支持，具体内容见招标文件“评标方法及评标标准”。</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3.10</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122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1229"/>
        <w:ind w:firstLine="480"/>
        <w:spacing w:before="0" w:after="0" w:line="440" w:lineRule="exact"/>
        <w:rPr>
          <w:rFonts w:hint="eastAsia"/>
          <w:b w:val="0"/>
          <w:bCs w:val="0"/>
          <w:color w:val="000000"/>
          <w:sz w:val="24"/>
          <w:szCs w:val="24"/>
          <w:highlight w:val="none"/>
        </w:rPr>
      </w:pPr>
      <w:r/>
      <w:bookmarkStart w:id="67" w:name="_Toc16938523"/>
      <w:r/>
      <w:bookmarkStart w:id="68" w:name="_Toc20823279"/>
      <w:r/>
      <w:bookmarkStart w:id="69" w:name="_Toc462564067"/>
      <w:r/>
      <w:bookmarkStart w:id="70" w:name="_Toc513029207"/>
      <w:r>
        <w:rPr>
          <w:rFonts w:hint="eastAsia"/>
          <w:b w:val="0"/>
          <w:bCs w:val="0"/>
          <w:color w:val="000000"/>
          <w:sz w:val="24"/>
          <w:szCs w:val="24"/>
          <w:highlight w:val="none"/>
        </w:rPr>
        <w:t xml:space="preserve">4、投标费用</w:t>
      </w:r>
      <w:bookmarkEnd w:id="67"/>
      <w:r/>
      <w:bookmarkEnd w:id="68"/>
      <w:r/>
      <w:bookmarkEnd w:id="69"/>
      <w:r/>
      <w:bookmarkEnd w:id="70"/>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225"/>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u w:val="single"/>
        </w:rPr>
        <w:t xml:space="preserve">招标代理费参照苏政采协〔2024〕20号文件</w:t>
      </w:r>
      <w:r>
        <w:rPr>
          <w:rFonts w:hint="eastAsia" w:ascii="宋体" w:hAnsi="宋体"/>
          <w:color w:val="000000"/>
          <w:sz w:val="24"/>
          <w:szCs w:val="24"/>
          <w:u w:val="single"/>
          <w:lang w:val="en-US" w:eastAsia="zh-CN"/>
        </w:rPr>
        <w:t xml:space="preserve">计取</w:t>
      </w:r>
      <w:r>
        <w:rPr>
          <w:rFonts w:hint="eastAsia" w:ascii="宋体" w:hAnsi="宋体"/>
          <w:color w:val="000000"/>
          <w:sz w:val="24"/>
          <w:szCs w:val="24"/>
          <w:u w:val="single"/>
        </w:rPr>
        <w:t xml:space="preserve">，按差额定率分档累进费率法计算，不满5000元按5000元收取</w:t>
      </w:r>
      <w:r>
        <w:rPr>
          <w:rFonts w:hint="eastAsia" w:ascii="宋体" w:hAnsi="宋体"/>
          <w:color w:val="000000"/>
          <w:sz w:val="24"/>
          <w:szCs w:val="24"/>
          <w:u w:val="single"/>
          <w:lang w:eastAsia="zh-CN"/>
        </w:rPr>
        <w:t xml:space="preserve">。</w:t>
      </w:r>
      <w:r>
        <w:rPr>
          <w:rFonts w:hint="eastAsia" w:ascii="宋体" w:hAnsi="宋体" w:eastAsia="宋体"/>
          <w:color w:val="000000"/>
          <w:sz w:val="24"/>
          <w:szCs w:val="24"/>
          <w:lang w:eastAsia="zh-CN"/>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1229"/>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228"/>
        <w:ind w:firstLine="281"/>
        <w:spacing w:before="120" w:after="120" w:line="440" w:lineRule="exact"/>
        <w:rPr>
          <w:rFonts w:hint="eastAsia"/>
          <w:color w:val="000000"/>
          <w:sz w:val="28"/>
          <w:szCs w:val="28"/>
          <w:highlight w:val="none"/>
        </w:rPr>
      </w:pPr>
      <w:r/>
      <w:bookmarkStart w:id="71" w:name="_Toc120614215"/>
      <w:r/>
      <w:bookmarkStart w:id="72" w:name="_Toc513029209"/>
      <w:r/>
      <w:bookmarkStart w:id="73" w:name="_Toc20823281"/>
      <w:r/>
      <w:bookmarkStart w:id="74" w:name="_Toc16938525"/>
      <w:r>
        <w:rPr>
          <w:rFonts w:hint="eastAsia"/>
          <w:color w:val="000000"/>
          <w:sz w:val="28"/>
          <w:szCs w:val="28"/>
          <w:highlight w:val="none"/>
        </w:rPr>
        <w:t xml:space="preserve">二、招标文件</w:t>
      </w:r>
      <w:bookmarkEnd w:id="71"/>
      <w:r/>
      <w:bookmarkEnd w:id="72"/>
      <w:r/>
      <w:bookmarkEnd w:id="73"/>
      <w:r/>
      <w:bookmarkEnd w:id="74"/>
      <w:r>
        <w:rPr>
          <w:rFonts w:hint="eastAsia"/>
          <w:color w:val="000000"/>
          <w:sz w:val="28"/>
          <w:szCs w:val="28"/>
          <w:highlight w:val="none"/>
        </w:rPr>
      </w:r>
      <w:r/>
    </w:p>
    <w:p>
      <w:pPr>
        <w:pStyle w:val="1229"/>
        <w:ind w:firstLine="360"/>
        <w:spacing w:before="0" w:after="0" w:line="440" w:lineRule="exact"/>
        <w:rPr>
          <w:rFonts w:hint="eastAsia"/>
          <w:b w:val="0"/>
          <w:bCs w:val="0"/>
          <w:color w:val="000000"/>
          <w:sz w:val="24"/>
          <w:szCs w:val="24"/>
          <w:highlight w:val="none"/>
        </w:rPr>
      </w:pPr>
      <w:r/>
      <w:bookmarkStart w:id="75" w:name="_Toc513029210"/>
      <w:r/>
      <w:bookmarkStart w:id="76" w:name="_Toc20823282"/>
      <w:r/>
      <w:bookmarkStart w:id="77" w:name="_Toc16938526"/>
      <w:r>
        <w:rPr>
          <w:rFonts w:hint="eastAsia"/>
          <w:b w:val="0"/>
          <w:bCs w:val="0"/>
          <w:color w:val="000000"/>
          <w:sz w:val="24"/>
          <w:szCs w:val="24"/>
          <w:highlight w:val="none"/>
        </w:rPr>
        <w:t xml:space="preserve">6、招标文件构成</w:t>
      </w:r>
      <w:bookmarkEnd w:id="75"/>
      <w:r/>
      <w:bookmarkEnd w:id="76"/>
      <w:r/>
      <w:bookmarkEnd w:id="77"/>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22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229"/>
        <w:ind w:firstLine="480"/>
        <w:spacing w:before="0" w:after="0" w:line="440" w:lineRule="exact"/>
        <w:rPr>
          <w:b w:val="0"/>
          <w:bCs w:val="0"/>
          <w:color w:val="000000"/>
          <w:sz w:val="24"/>
          <w:szCs w:val="24"/>
          <w:highlight w:val="none"/>
        </w:rPr>
      </w:pPr>
      <w:r/>
      <w:bookmarkStart w:id="78" w:name="_Toc513029211"/>
      <w:r/>
      <w:bookmarkStart w:id="79" w:name="_Toc16938527"/>
      <w:r/>
      <w:bookmarkStart w:id="80" w:name="_Toc462564070"/>
      <w:r/>
      <w:bookmarkStart w:id="81" w:name="_Toc20823283"/>
      <w:r>
        <w:rPr>
          <w:rFonts w:hint="eastAsia"/>
          <w:b w:val="0"/>
          <w:bCs w:val="0"/>
          <w:color w:val="000000"/>
          <w:sz w:val="24"/>
          <w:szCs w:val="24"/>
          <w:highlight w:val="none"/>
        </w:rPr>
        <w:t xml:space="preserve">7、招标文件的澄清</w:t>
      </w:r>
      <w:bookmarkEnd w:id="78"/>
      <w:r/>
      <w:bookmarkEnd w:id="79"/>
      <w:r/>
      <w:bookmarkEnd w:id="80"/>
      <w:r/>
      <w:bookmarkEnd w:id="81"/>
      <w:r>
        <w:rPr>
          <w:b w:val="0"/>
          <w:bCs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229"/>
        <w:ind w:firstLine="480"/>
        <w:spacing w:before="0" w:after="0" w:line="440" w:lineRule="exact"/>
        <w:rPr>
          <w:rFonts w:hint="eastAsia"/>
          <w:b w:val="0"/>
          <w:bCs w:val="0"/>
          <w:color w:val="000000"/>
          <w:sz w:val="24"/>
          <w:szCs w:val="24"/>
          <w:highlight w:val="none"/>
        </w:rPr>
      </w:pPr>
      <w:r/>
      <w:bookmarkStart w:id="82" w:name="_Toc513029212"/>
      <w:r/>
      <w:bookmarkStart w:id="83" w:name="_Toc462564071"/>
      <w:r/>
      <w:bookmarkStart w:id="84" w:name="_Toc16938528"/>
      <w:r/>
      <w:bookmarkStart w:id="85" w:name="_Toc20823284"/>
      <w:r>
        <w:rPr>
          <w:rFonts w:hint="eastAsia"/>
          <w:b w:val="0"/>
          <w:bCs w:val="0"/>
          <w:color w:val="000000"/>
          <w:sz w:val="24"/>
          <w:szCs w:val="24"/>
          <w:highlight w:val="none"/>
        </w:rPr>
        <w:t xml:space="preserve">8、招标文件的澄清和修改</w:t>
      </w:r>
      <w:bookmarkEnd w:id="82"/>
      <w:r/>
      <w:bookmarkEnd w:id="83"/>
      <w:r/>
      <w:bookmarkEnd w:id="84"/>
      <w:r/>
      <w:bookmarkEnd w:id="85"/>
      <w:r>
        <w:rPr>
          <w:rFonts w:hint="eastAsia"/>
          <w:b w:val="0"/>
          <w:bCs w:val="0"/>
          <w:color w:val="000000"/>
          <w:sz w:val="24"/>
          <w:szCs w:val="24"/>
          <w:highlight w:val="none"/>
        </w:rPr>
      </w:r>
      <w:r/>
    </w:p>
    <w:p>
      <w:pPr>
        <w:pStyle w:val="122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22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22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22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22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228"/>
        <w:ind w:firstLine="361"/>
        <w:spacing w:before="120" w:after="120" w:line="440" w:lineRule="exact"/>
        <w:rPr>
          <w:rFonts w:hint="eastAsia"/>
          <w:color w:val="000000"/>
          <w:sz w:val="24"/>
          <w:szCs w:val="24"/>
          <w:highlight w:val="none"/>
        </w:rPr>
      </w:pPr>
      <w:r/>
      <w:bookmarkStart w:id="86" w:name="_Toc20823285"/>
      <w:r/>
      <w:bookmarkStart w:id="87" w:name="_Toc513029213"/>
      <w:r/>
      <w:bookmarkStart w:id="88" w:name="_Toc120614216"/>
      <w:r/>
      <w:bookmarkStart w:id="89" w:name="_Toc16938529"/>
      <w:r/>
      <w:bookmarkStart w:id="90" w:name="_Toc462564072"/>
      <w:r>
        <w:rPr>
          <w:rFonts w:hint="eastAsia"/>
          <w:color w:val="000000"/>
          <w:sz w:val="24"/>
          <w:szCs w:val="24"/>
          <w:highlight w:val="none"/>
        </w:rPr>
        <w:t xml:space="preserve">三、投标文件的编制</w:t>
      </w:r>
      <w:bookmarkEnd w:id="86"/>
      <w:r/>
      <w:bookmarkEnd w:id="87"/>
      <w:r/>
      <w:bookmarkEnd w:id="88"/>
      <w:r/>
      <w:bookmarkEnd w:id="89"/>
      <w:r/>
      <w:bookmarkEnd w:id="90"/>
      <w:r>
        <w:rPr>
          <w:rFonts w:hint="eastAsia"/>
          <w:color w:val="000000"/>
          <w:sz w:val="24"/>
          <w:szCs w:val="24"/>
          <w:highlight w:val="none"/>
        </w:rPr>
      </w:r>
      <w:r/>
    </w:p>
    <w:p>
      <w:pPr>
        <w:pStyle w:val="1229"/>
        <w:ind w:firstLine="480"/>
        <w:spacing w:before="0" w:after="0" w:line="440" w:lineRule="exact"/>
        <w:rPr>
          <w:rFonts w:hint="eastAsia"/>
          <w:bCs w:val="0"/>
          <w:color w:val="000000"/>
          <w:sz w:val="24"/>
          <w:szCs w:val="24"/>
          <w:highlight w:val="none"/>
        </w:rPr>
      </w:pPr>
      <w:r/>
      <w:bookmarkStart w:id="91" w:name="_Toc513029214"/>
      <w:r/>
      <w:bookmarkStart w:id="92" w:name="_Toc16938530"/>
      <w:r/>
      <w:bookmarkStart w:id="93" w:name="_Toc462564073"/>
      <w:r/>
      <w:bookmarkStart w:id="94" w:name="_Toc20823286"/>
      <w:r>
        <w:rPr>
          <w:rFonts w:hint="eastAsia"/>
          <w:b w:val="0"/>
          <w:bCs w:val="0"/>
          <w:color w:val="000000"/>
          <w:sz w:val="24"/>
          <w:szCs w:val="24"/>
          <w:highlight w:val="none"/>
        </w:rPr>
        <w:t xml:space="preserve">9、投标文件的语言及度量衡单位</w:t>
      </w:r>
      <w:bookmarkEnd w:id="91"/>
      <w:r/>
      <w:bookmarkEnd w:id="92"/>
      <w:r/>
      <w:bookmarkEnd w:id="93"/>
      <w:r/>
      <w:bookmarkEnd w:id="94"/>
      <w:r>
        <w:rPr>
          <w:rFonts w:hint="eastAsia"/>
          <w:bCs w:val="0"/>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229"/>
        <w:ind w:firstLine="360"/>
        <w:spacing w:before="0" w:after="0" w:line="440" w:lineRule="exact"/>
        <w:rPr>
          <w:rFonts w:hint="eastAsia"/>
          <w:b w:val="0"/>
          <w:bCs w:val="0"/>
          <w:color w:val="000000"/>
          <w:sz w:val="24"/>
          <w:szCs w:val="24"/>
          <w:highlight w:val="none"/>
        </w:rPr>
      </w:pPr>
      <w:r/>
      <w:bookmarkStart w:id="95" w:name="_Toc20823287"/>
      <w:r/>
      <w:bookmarkStart w:id="96" w:name="_Toc462564074"/>
      <w:r/>
      <w:bookmarkStart w:id="97" w:name="_Toc513029215"/>
      <w:r/>
      <w:bookmarkStart w:id="98" w:name="_Toc16938531"/>
      <w:r>
        <w:rPr>
          <w:rFonts w:hint="eastAsia"/>
          <w:b w:val="0"/>
          <w:bCs w:val="0"/>
          <w:color w:val="000000"/>
          <w:sz w:val="24"/>
          <w:szCs w:val="24"/>
          <w:highlight w:val="none"/>
        </w:rPr>
        <w:t xml:space="preserve">10、投标文件构成</w:t>
      </w:r>
      <w:bookmarkEnd w:id="95"/>
      <w:r/>
      <w:bookmarkEnd w:id="96"/>
      <w:r/>
      <w:bookmarkEnd w:id="97"/>
      <w:r/>
      <w:bookmarkEnd w:id="98"/>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w:t>
      </w:r>
      <w:r>
        <w:rPr>
          <w:rFonts w:hint="eastAsia" w:ascii="宋体" w:hAnsi="宋体"/>
          <w:bCs/>
          <w:color w:val="000000"/>
          <w:sz w:val="24"/>
          <w:szCs w:val="24"/>
          <w:highlight w:val="none"/>
          <w:lang w:eastAsia="zh-CN"/>
        </w:rPr>
        <w:t xml:space="preserve">采购</w:t>
      </w:r>
      <w:r>
        <w:rPr>
          <w:rFonts w:hint="eastAsia" w:ascii="宋体" w:hAnsi="宋体"/>
          <w:bCs/>
          <w:color w:val="000000"/>
          <w:sz w:val="24"/>
          <w:szCs w:val="24"/>
          <w:highlight w:val="none"/>
        </w:rPr>
        <w:t xml:space="preserve">网”、“扬中政府</w:t>
      </w:r>
      <w:r>
        <w:rPr>
          <w:rFonts w:hint="eastAsia" w:ascii="宋体" w:hAnsi="宋体"/>
          <w:bCs/>
          <w:color w:val="000000"/>
          <w:sz w:val="24"/>
          <w:szCs w:val="24"/>
          <w:highlight w:val="none"/>
          <w:lang w:eastAsia="zh-CN"/>
        </w:rPr>
        <w:t xml:space="preserve">采购</w:t>
      </w:r>
      <w:r>
        <w:rPr>
          <w:rFonts w:hint="eastAsia" w:ascii="宋体" w:hAnsi="宋体"/>
          <w:bCs/>
          <w:color w:val="000000"/>
          <w:sz w:val="24"/>
          <w:szCs w:val="24"/>
          <w:highlight w:val="none"/>
        </w:rPr>
        <w:t xml:space="preserve">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w:t>
      </w:r>
      <w:r>
        <w:rPr>
          <w:rFonts w:hint="eastAsia" w:ascii="宋体" w:hAnsi="宋体"/>
          <w:bCs/>
          <w:color w:val="000000"/>
          <w:sz w:val="24"/>
          <w:szCs w:val="24"/>
          <w:highlight w:val="none"/>
          <w:lang w:eastAsia="zh-CN"/>
        </w:rPr>
        <w:t xml:space="preserve">采购</w:t>
      </w:r>
      <w:r>
        <w:rPr>
          <w:rFonts w:hint="eastAsia" w:ascii="宋体" w:hAnsi="宋体"/>
          <w:bCs/>
          <w:color w:val="000000"/>
          <w:sz w:val="24"/>
          <w:szCs w:val="24"/>
          <w:highlight w:val="none"/>
        </w:rPr>
        <w:t xml:space="preserve">网”、“扬中政府</w:t>
      </w:r>
      <w:r>
        <w:rPr>
          <w:rFonts w:hint="eastAsia" w:ascii="宋体" w:hAnsi="宋体"/>
          <w:bCs/>
          <w:color w:val="000000"/>
          <w:sz w:val="24"/>
          <w:szCs w:val="24"/>
          <w:highlight w:val="none"/>
          <w:lang w:eastAsia="zh-CN"/>
        </w:rPr>
        <w:t xml:space="preserve">采购</w:t>
      </w:r>
      <w:r>
        <w:rPr>
          <w:rFonts w:hint="eastAsia" w:ascii="宋体" w:hAnsi="宋体"/>
          <w:bCs/>
          <w:color w:val="000000"/>
          <w:sz w:val="24"/>
          <w:szCs w:val="24"/>
          <w:highlight w:val="none"/>
        </w:rPr>
        <w:t xml:space="preserve">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229"/>
        <w:ind w:firstLine="360"/>
        <w:spacing w:before="0" w:after="0" w:line="440" w:lineRule="exact"/>
        <w:rPr>
          <w:rFonts w:hint="eastAsia"/>
          <w:b w:val="0"/>
          <w:bCs w:val="0"/>
          <w:color w:val="000000"/>
          <w:sz w:val="24"/>
          <w:szCs w:val="24"/>
          <w:highlight w:val="none"/>
        </w:rPr>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14577357"/>
      <w:r/>
      <w:bookmarkStart w:id="104" w:name="_Toc49090509"/>
      <w:r/>
      <w:bookmarkStart w:id="105" w:name="_Toc14577354"/>
      <w:r/>
      <w:bookmarkStart w:id="106" w:name="_Toc513029216"/>
      <w:r/>
      <w:bookmarkStart w:id="107" w:name="_Toc49090507"/>
      <w:r>
        <w:rPr>
          <w:rFonts w:hint="eastAsia"/>
          <w:b w:val="0"/>
          <w:bCs w:val="0"/>
          <w:color w:val="000000"/>
          <w:sz w:val="24"/>
          <w:szCs w:val="24"/>
          <w:highlight w:val="none"/>
        </w:rPr>
        <w:t xml:space="preserve">11、证明投标人及投标标的符合招标文件规定的文件</w:t>
      </w:r>
      <w:bookmarkEnd w:id="102"/>
      <w:r/>
      <w:bookmarkEnd w:id="103"/>
      <w:r/>
      <w:bookmarkEnd w:id="104"/>
      <w:r>
        <w:rPr>
          <w:rFonts w:hint="eastAsia"/>
          <w:b w:val="0"/>
          <w:bCs w:val="0"/>
          <w:color w:val="000000"/>
          <w:sz w:val="24"/>
          <w:szCs w:val="24"/>
          <w:highlight w:val="none"/>
        </w:rPr>
      </w:r>
      <w:r/>
    </w:p>
    <w:p>
      <w:pPr>
        <w:pStyle w:val="1225"/>
        <w:spacing w:line="440" w:lineRule="exact"/>
        <w:rPr>
          <w:rFonts w:hint="eastAsia" w:ascii="宋体" w:hAnsi="宋体"/>
          <w:color w:val="000000"/>
          <w:sz w:val="24"/>
          <w:szCs w:val="24"/>
          <w:highlight w:val="none"/>
        </w:rPr>
      </w:pPr>
      <w:r/>
      <w:bookmarkEnd w:id="105"/>
      <w:r/>
      <w:bookmarkEnd w:id="106"/>
      <w:r/>
      <w:bookmarkEnd w:id="107"/>
      <w:r/>
      <w:bookmarkStart w:id="108" w:name="_Toc14577355"/>
      <w:r/>
      <w:bookmarkStart w:id="109" w:name="_Toc49090508"/>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8"/>
      <w:r/>
      <w:bookmarkStart w:id="110" w:name="_Hlt26670373"/>
      <w:r/>
      <w:bookmarkEnd w:id="110"/>
      <w:r>
        <w:rPr>
          <w:rFonts w:hint="eastAsia"/>
          <w:b w:val="0"/>
          <w:bCs w:val="0"/>
          <w:color w:val="000000"/>
          <w:sz w:val="24"/>
          <w:szCs w:val="24"/>
          <w:highlight w:val="none"/>
        </w:rPr>
        <w:t xml:space="preserve">表</w:t>
      </w:r>
      <w:bookmarkEnd w:id="109"/>
      <w:r>
        <w:rPr>
          <w:rFonts w:hint="eastAsia"/>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1" w:name="_Hlt26954840"/>
      <w:r/>
      <w:bookmarkEnd w:id="111"/>
      <w:r>
        <w:rPr>
          <w:rFonts w:hint="eastAsia" w:ascii="宋体" w:hAnsi="宋体"/>
          <w:color w:val="000000"/>
          <w:sz w:val="24"/>
          <w:szCs w:val="24"/>
          <w:highlight w:val="none"/>
        </w:rPr>
        <w:t xml:space="preserve">标人应按照招标文件规定格式填报投标分项报价表</w:t>
      </w:r>
      <w:bookmarkStart w:id="112" w:name="_Hlt26670399"/>
      <w:r/>
      <w:bookmarkEnd w:id="112"/>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13" w:name="_Hlt26670403"/>
      <w:r/>
      <w:bookmarkEnd w:id="113"/>
      <w:r/>
      <w:bookmarkStart w:id="114" w:name="_Hlt26954846"/>
      <w:r/>
      <w:bookmarkEnd w:id="114"/>
      <w:r/>
      <w:bookmarkStart w:id="115" w:name="_Hlt26668983"/>
      <w:r/>
      <w:bookmarkEnd w:id="115"/>
      <w:r/>
      <w:bookmarkStart w:id="116" w:name="_Hlt26670425"/>
      <w:r/>
      <w:bookmarkEnd w:id="116"/>
      <w:r/>
      <w:bookmarkStart w:id="117" w:name="_Hlt26670482"/>
      <w:r/>
      <w:bookmarkEnd w:id="117"/>
      <w:r/>
      <w:bookmarkStart w:id="118" w:name="_Hlt26670486"/>
      <w:r/>
      <w:bookmarkEnd w:id="118"/>
      <w:r/>
      <w:bookmarkStart w:id="119" w:name="_Hlt26954844"/>
      <w:r/>
      <w:bookmarkEnd w:id="119"/>
      <w:r/>
      <w:bookmarkStart w:id="120" w:name="_Hlt26954848"/>
      <w:r/>
      <w:bookmarkEnd w:id="120"/>
      <w:r/>
      <w:bookmarkStart w:id="121" w:name="_Hlt26954731"/>
      <w:r/>
      <w:bookmarkEnd w:id="121"/>
      <w:r/>
      <w:bookmarkStart w:id="122" w:name="_Hlt26954842"/>
      <w:r/>
      <w:bookmarkEnd w:id="122"/>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22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225"/>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229"/>
        <w:ind w:firstLine="360"/>
        <w:spacing w:before="0" w:after="0" w:line="440" w:lineRule="exact"/>
        <w:rPr>
          <w:rFonts w:hint="eastAsia"/>
          <w:b w:val="0"/>
          <w:bCs w:val="0"/>
          <w:color w:val="000000"/>
          <w:sz w:val="24"/>
          <w:szCs w:val="24"/>
          <w:highlight w:val="none"/>
        </w:rPr>
      </w:pPr>
      <w:r/>
      <w:bookmarkStart w:id="123" w:name="_Toc49090510"/>
      <w:r/>
      <w:bookmarkStart w:id="124" w:name="_Toc14577359"/>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b w:val="0"/>
          <w:bCs w:val="0"/>
          <w:color w:val="000000"/>
          <w:sz w:val="24"/>
          <w:szCs w:val="24"/>
          <w:highlight w:val="none"/>
        </w:rPr>
        <w:t xml:space="preserve">15、投标有效期</w:t>
      </w:r>
      <w:bookmarkEnd w:id="128"/>
      <w:r/>
      <w:bookmarkEnd w:id="129"/>
      <w:r>
        <w:rPr>
          <w:rFonts w:hint="eastAsia"/>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28"/>
        <w:ind w:firstLine="361"/>
        <w:spacing w:before="120" w:after="120" w:line="440" w:lineRule="exact"/>
        <w:rPr>
          <w:rFonts w:hint="eastAsia"/>
          <w:color w:val="000000"/>
          <w:sz w:val="24"/>
          <w:szCs w:val="24"/>
          <w:highlight w:val="none"/>
        </w:rPr>
      </w:pPr>
      <w:r/>
      <w:bookmarkStart w:id="130" w:name="_Hlt26954852"/>
      <w:r/>
      <w:bookmarkEnd w:id="130"/>
      <w:r/>
      <w:bookmarkStart w:id="131" w:name="_Hlt26954739"/>
      <w:r/>
      <w:bookmarkEnd w:id="131"/>
      <w:r/>
      <w:bookmarkStart w:id="132" w:name="_Toc16938540"/>
      <w:r/>
      <w:bookmarkStart w:id="133" w:name="_Toc120614217"/>
      <w:r/>
      <w:bookmarkStart w:id="134" w:name="_Toc20823296"/>
      <w:r/>
      <w:bookmarkStart w:id="135" w:name="_Toc513029224"/>
      <w:r>
        <w:rPr>
          <w:rFonts w:hint="eastAsia"/>
          <w:color w:val="000000"/>
          <w:sz w:val="24"/>
          <w:szCs w:val="24"/>
          <w:highlight w:val="none"/>
        </w:rPr>
        <w:t xml:space="preserve">四、投标文件的递交</w:t>
      </w:r>
      <w:bookmarkEnd w:id="132"/>
      <w:r/>
      <w:bookmarkEnd w:id="133"/>
      <w:r/>
      <w:bookmarkEnd w:id="134"/>
      <w:r/>
      <w:bookmarkEnd w:id="135"/>
      <w:r>
        <w:rPr>
          <w:rFonts w:hint="eastAsia"/>
          <w:color w:val="000000"/>
          <w:sz w:val="24"/>
          <w:szCs w:val="24"/>
          <w:highlight w:val="none"/>
        </w:rPr>
      </w:r>
      <w:r/>
    </w:p>
    <w:p>
      <w:pPr>
        <w:pStyle w:val="1229"/>
        <w:ind w:firstLine="480"/>
        <w:spacing w:before="0" w:after="0" w:line="440" w:lineRule="exact"/>
        <w:rPr>
          <w:rFonts w:hint="eastAsia" w:ascii="黑体"/>
          <w:b w:val="0"/>
          <w:bCs w:val="0"/>
          <w:color w:val="000000"/>
          <w:sz w:val="24"/>
          <w:szCs w:val="24"/>
          <w:highlight w:val="none"/>
        </w:rPr>
      </w:pPr>
      <w:r/>
      <w:bookmarkStart w:id="136" w:name="_Toc513029225"/>
      <w:r/>
      <w:bookmarkStart w:id="137" w:name="_Toc20823297"/>
      <w:r/>
      <w:bookmarkStart w:id="138" w:name="_Toc462564084"/>
      <w:r/>
      <w:bookmarkStart w:id="139" w:name="_Toc16938541"/>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6"/>
      <w:r/>
      <w:bookmarkEnd w:id="137"/>
      <w:r/>
      <w:bookmarkEnd w:id="138"/>
      <w:r/>
      <w:bookmarkEnd w:id="139"/>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346"/>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346"/>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0" w:name="_Toc513029226"/>
      <w:r/>
      <w:bookmarkStart w:id="141" w:name="_Toc16938542"/>
      <w:r/>
      <w:bookmarkStart w:id="142" w:name="_Toc20823298"/>
      <w:r>
        <w:rPr>
          <w:rFonts w:hint="eastAsia" w:ascii="宋体" w:hAnsi="宋体"/>
          <w:bCs/>
          <w:color w:val="000000"/>
          <w:sz w:val="24"/>
          <w:szCs w:val="24"/>
          <w:highlight w:val="none"/>
        </w:rPr>
      </w:r>
      <w:r/>
    </w:p>
    <w:p>
      <w:pPr>
        <w:pStyle w:val="1229"/>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0"/>
      <w:r/>
      <w:bookmarkEnd w:id="141"/>
      <w:r/>
      <w:bookmarkEnd w:id="142"/>
      <w:r>
        <w:rPr>
          <w:rFonts w:hint="eastAsia"/>
          <w:b w:val="0"/>
          <w:color w:val="000000"/>
          <w:sz w:val="24"/>
          <w:szCs w:val="24"/>
          <w:highlight w:val="none"/>
        </w:rPr>
        <w:t xml:space="preserve">时间</w:t>
      </w:r>
      <w:r>
        <w:rPr>
          <w:rFonts w:hint="eastAsia"/>
          <w:b w:val="0"/>
          <w:color w:val="000000"/>
          <w:sz w:val="24"/>
          <w:szCs w:val="24"/>
          <w:highlight w:val="none"/>
        </w:rPr>
      </w:r>
      <w:r/>
    </w:p>
    <w:p>
      <w:pPr>
        <w:pStyle w:val="1225"/>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43" w:name="_Toc513029227"/>
      <w:r/>
      <w:bookmarkStart w:id="144" w:name="_Toc16938543"/>
      <w:r/>
      <w:bookmarkStart w:id="145" w:name="_Toc20823299"/>
      <w:r>
        <w:rPr>
          <w:rFonts w:hint="eastAsia"/>
          <w:b w:val="0"/>
          <w:bCs w:val="0"/>
          <w:color w:val="000000"/>
          <w:sz w:val="24"/>
          <w:szCs w:val="24"/>
          <w:highlight w:val="none"/>
        </w:rPr>
        <w:t xml:space="preserve">19、投标文件</w:t>
      </w:r>
      <w:bookmarkEnd w:id="143"/>
      <w:r/>
      <w:bookmarkEnd w:id="144"/>
      <w:r/>
      <w:bookmarkEnd w:id="145"/>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46" w:name="_Toc20823300"/>
      <w:r/>
      <w:bookmarkStart w:id="147" w:name="_Toc16938544"/>
      <w:r/>
      <w:bookmarkStart w:id="148" w:name="_Toc513029228"/>
      <w:r>
        <w:rPr>
          <w:rFonts w:hint="eastAsia"/>
          <w:b w:val="0"/>
          <w:bCs w:val="0"/>
          <w:color w:val="000000"/>
          <w:sz w:val="24"/>
          <w:szCs w:val="24"/>
          <w:highlight w:val="none"/>
        </w:rPr>
        <w:t xml:space="preserve">20、投标文件的撤回和修改</w:t>
      </w:r>
      <w:bookmarkEnd w:id="146"/>
      <w:r/>
      <w:bookmarkEnd w:id="147"/>
      <w:r/>
      <w:bookmarkEnd w:id="148"/>
      <w:r>
        <w:rPr>
          <w:rFonts w:hint="eastAsia"/>
          <w:b w:val="0"/>
          <w:bCs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228"/>
        <w:ind w:firstLine="361"/>
        <w:spacing w:before="120" w:after="120" w:line="440" w:lineRule="exact"/>
        <w:rPr>
          <w:rFonts w:hint="eastAsia"/>
          <w:color w:val="000000"/>
          <w:sz w:val="24"/>
          <w:szCs w:val="24"/>
          <w:highlight w:val="none"/>
        </w:rPr>
      </w:pPr>
      <w:r/>
      <w:bookmarkStart w:id="149" w:name="_Toc120614218"/>
      <w:r/>
      <w:bookmarkStart w:id="150" w:name="_Toc16938545"/>
      <w:r/>
      <w:bookmarkStart w:id="151" w:name="_Toc20823301"/>
      <w:r/>
      <w:bookmarkStart w:id="152" w:name="_Toc513029229"/>
      <w:r>
        <w:rPr>
          <w:rFonts w:hint="eastAsia"/>
          <w:color w:val="000000"/>
          <w:sz w:val="24"/>
          <w:szCs w:val="24"/>
          <w:highlight w:val="none"/>
        </w:rPr>
        <w:t xml:space="preserve">五、开标与评标</w:t>
      </w:r>
      <w:bookmarkEnd w:id="149"/>
      <w:r/>
      <w:bookmarkEnd w:id="150"/>
      <w:r/>
      <w:bookmarkEnd w:id="151"/>
      <w:r/>
      <w:bookmarkEnd w:id="152"/>
      <w:r>
        <w:rPr>
          <w:rFonts w:hint="eastAsia"/>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53" w:name="_Toc20823302"/>
      <w:r/>
      <w:bookmarkStart w:id="154" w:name="_Toc16938546"/>
      <w:r/>
      <w:bookmarkStart w:id="155" w:name="_Toc513029230"/>
      <w:r>
        <w:rPr>
          <w:rFonts w:hint="eastAsia"/>
          <w:b w:val="0"/>
          <w:bCs w:val="0"/>
          <w:color w:val="000000"/>
          <w:sz w:val="24"/>
          <w:szCs w:val="24"/>
          <w:highlight w:val="none"/>
        </w:rPr>
        <w:t xml:space="preserve">21、开标</w:t>
      </w:r>
      <w:bookmarkEnd w:id="153"/>
      <w:r/>
      <w:bookmarkEnd w:id="154"/>
      <w:r/>
      <w:bookmarkEnd w:id="155"/>
      <w:r>
        <w:rPr>
          <w:rFonts w:hint="eastAsia"/>
          <w:b w:val="0"/>
          <w:bCs w:val="0"/>
          <w:color w:val="000000"/>
          <w:sz w:val="24"/>
          <w:szCs w:val="24"/>
          <w:highlight w:val="none"/>
        </w:rPr>
      </w:r>
      <w:r/>
    </w:p>
    <w:p>
      <w:pPr>
        <w:pStyle w:val="122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56" w:name="_Toc513029231"/>
      <w:r/>
      <w:bookmarkStart w:id="157" w:name="_Toc20823303"/>
      <w:r/>
      <w:bookmarkStart w:id="158" w:name="_Toc16938547"/>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22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22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22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229"/>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bookmarkEnd w:id="156"/>
      <w:r/>
      <w:bookmarkEnd w:id="157"/>
      <w:r/>
      <w:bookmarkEnd w:id="158"/>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59" w:name="_Toc20823304"/>
      <w:r/>
      <w:bookmarkStart w:id="160" w:name="_Toc16938548"/>
      <w:r/>
      <w:bookmarkStart w:id="161" w:name="_Toc513029232"/>
      <w:r>
        <w:rPr>
          <w:rFonts w:hint="eastAsia"/>
          <w:b w:val="0"/>
          <w:bCs w:val="0"/>
          <w:color w:val="000000"/>
          <w:sz w:val="24"/>
          <w:szCs w:val="24"/>
          <w:highlight w:val="none"/>
        </w:rPr>
        <w:t xml:space="preserve">24、投标文件的澄清</w:t>
      </w:r>
      <w:bookmarkEnd w:id="159"/>
      <w:r/>
      <w:bookmarkEnd w:id="160"/>
      <w:r/>
      <w:bookmarkEnd w:id="161"/>
      <w:r>
        <w:rPr>
          <w:rFonts w:hint="eastAsia"/>
          <w:b w:val="0"/>
          <w:bCs w:val="0"/>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22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bookmarkStart w:id="162" w:name="_Toc20823305"/>
      <w:r/>
      <w:bookmarkStart w:id="163" w:name="_Toc16938549"/>
      <w:r/>
      <w:bookmarkStart w:id="164" w:name="_Toc513029233"/>
      <w:r>
        <w:rPr>
          <w:rFonts w:hint="eastAsia"/>
          <w:b w:val="0"/>
          <w:bCs w:val="0"/>
          <w:color w:val="000000"/>
          <w:sz w:val="24"/>
          <w:szCs w:val="24"/>
          <w:highlight w:val="none"/>
        </w:rPr>
        <w:t xml:space="preserve">25、对投标文件的初审</w:t>
      </w:r>
      <w:bookmarkEnd w:id="162"/>
      <w:r/>
      <w:bookmarkEnd w:id="163"/>
      <w:r/>
      <w:bookmarkEnd w:id="164"/>
      <w:r>
        <w:rPr>
          <w:rFonts w:hint="eastAsia"/>
          <w:b w:val="0"/>
          <w:bCs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225"/>
        <w:ind w:firstLine="420"/>
        <w:spacing w:line="440" w:lineRule="exact"/>
        <w:rPr>
          <w:rFonts w:hint="eastAsia" w:ascii="宋体" w:hAnsi="宋体"/>
          <w:b/>
          <w:bCs/>
          <w:color w:val="000000"/>
          <w:sz w:val="24"/>
          <w:szCs w:val="24"/>
          <w:highlight w:val="none"/>
        </w:rPr>
      </w:pPr>
      <w:r/>
      <w:bookmarkStart w:id="165" w:name="_Toc16938550"/>
      <w:r/>
      <w:bookmarkStart w:id="166" w:name="_Toc513029234"/>
      <w:r/>
      <w:bookmarkStart w:id="167" w:name="_Toc20823306"/>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22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5"/>
      <w:r/>
      <w:bookmarkEnd w:id="166"/>
      <w:r/>
      <w:bookmarkEnd w:id="167"/>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bookmarkStart w:id="168" w:name="_Toc513029235"/>
      <w:r/>
      <w:bookmarkStart w:id="169" w:name="_Toc16938551"/>
      <w:r/>
      <w:bookmarkStart w:id="170" w:name="_Toc20823307"/>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rPr>
          <w:rFonts w:hint="eastAsia" w:ascii="宋体" w:hAnsi="宋体"/>
          <w:bCs/>
          <w:color w:val="000000"/>
          <w:sz w:val="24"/>
          <w:szCs w:val="24"/>
          <w:highlight w:val="none"/>
        </w:rPr>
      </w:r>
      <w:r/>
    </w:p>
    <w:p>
      <w:pPr>
        <w:pStyle w:val="1225"/>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225"/>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单位负责人为同一人或者存在直接控股、管理关系的不同供应商，参加同一合同项下的政府采购活动</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6.1.9</w:t>
      </w:r>
      <w:r>
        <w:rPr>
          <w:rFonts w:hint="eastAsia" w:ascii="宋体" w:hAnsi="宋体"/>
          <w:bCs/>
          <w:color w:val="000000"/>
          <w:sz w:val="24"/>
          <w:szCs w:val="24"/>
          <w:highlight w:val="none"/>
        </w:rPr>
        <w:t xml:space="preserve">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投标文件含有人不能接受的附加条件的。</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投标文件未按照招标文件要求加盖CA</w:t>
      </w:r>
      <w:r>
        <w:rPr>
          <w:rFonts w:ascii="宋体" w:hAnsi="宋体"/>
          <w:bCs/>
          <w:color w:val="000000"/>
          <w:sz w:val="24"/>
          <w:szCs w:val="24"/>
          <w:highlight w:val="none"/>
        </w:rPr>
        <w:t xml:space="preserve">电子公章的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其他法律、法规及本招标文件规定的属无效投标的情形。</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w:t>
      </w:r>
      <w:r>
        <w:rPr>
          <w:rFonts w:hint="eastAsia" w:ascii="宋体" w:hAnsi="宋体"/>
          <w:bCs/>
          <w:color w:val="000000"/>
          <w:sz w:val="24"/>
          <w:szCs w:val="24"/>
          <w:highlight w:val="none"/>
        </w:rPr>
      </w:r>
      <w:r/>
    </w:p>
    <w:p>
      <w:pPr>
        <w:pStyle w:val="12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家的。</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w:t>
      </w:r>
      <w:r>
        <w:rPr>
          <w:rFonts w:hint="eastAsia" w:ascii="宋体" w:hAnsi="宋体"/>
          <w:bCs/>
          <w:color w:val="000000"/>
          <w:sz w:val="24"/>
          <w:szCs w:val="24"/>
          <w:highlight w:val="none"/>
        </w:rPr>
      </w:r>
      <w:r/>
    </w:p>
    <w:p>
      <w:pPr>
        <w:pStyle w:val="1225"/>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行。</w:t>
      </w:r>
      <w:r>
        <w:rPr>
          <w:rFonts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2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rPr>
          <w:rFonts w:hint="eastAsia" w:ascii="宋体" w:hAnsi="宋体"/>
          <w:bCs/>
          <w:color w:val="000000"/>
          <w:sz w:val="24"/>
          <w:szCs w:val="24"/>
          <w:highlight w:val="none"/>
        </w:rPr>
      </w:r>
      <w:r/>
    </w:p>
    <w:p>
      <w:pPr>
        <w:pStyle w:val="1225"/>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26.4评审注意事项</w:t>
      </w:r>
      <w:r>
        <w:rPr>
          <w:rFonts w:hint="eastAsia" w:ascii="宋体" w:hAnsi="宋体" w:eastAsia="宋体" w:cs="Times New Roman"/>
          <w:b w:val="0"/>
          <w:bCs/>
          <w:color w:val="000000"/>
          <w:sz w:val="24"/>
          <w:szCs w:val="24"/>
          <w:lang w:val="en-US" w:eastAsia="zh-CN"/>
        </w:rPr>
      </w:r>
      <w:r/>
    </w:p>
    <w:p>
      <w:pPr>
        <w:pStyle w:val="122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122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评标委员会启动异常低价投标(响应)审查的情形和具体要求:</w:t>
      </w:r>
      <w:r>
        <w:rPr>
          <w:rFonts w:ascii="宋体" w:hAnsi="宋体" w:eastAsia="宋体" w:cs="Times New Roman"/>
          <w:b w:val="0"/>
          <w:bCs/>
          <w:color w:val="000000"/>
          <w:sz w:val="24"/>
          <w:szCs w:val="24"/>
          <w:lang w:val="en-US" w:eastAsia="zh-CN"/>
        </w:rPr>
      </w:r>
      <w:r/>
    </w:p>
    <w:p>
      <w:pPr>
        <w:pStyle w:val="1225"/>
        <w:numPr>
          <w:ilvl w:val="0"/>
          <w:numId w:val="6"/>
        </w:numPr>
        <w:ind w:firstLine="482"/>
        <w:spacing w:line="440" w:lineRule="exact"/>
        <w:tabs>
          <w:tab w:val="left" w:pos="312" w:leader="none"/>
        </w:tabs>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lang w:val="en-US" w:eastAsia="zh-CN"/>
        </w:rPr>
      </w:r>
      <w:r/>
    </w:p>
    <w:p>
      <w:pPr>
        <w:pStyle w:val="1225"/>
        <w:numPr>
          <w:ilvl w:val="0"/>
          <w:numId w:val="0"/>
        </w:numPr>
        <w:ind w:firstLine="482"/>
        <w:spacing w:line="440" w:lineRule="exact"/>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lang w:val="en-US" w:eastAsia="zh-CN"/>
        </w:rPr>
      </w:r>
      <w:r/>
    </w:p>
    <w:p>
      <w:pPr>
        <w:pStyle w:val="1225"/>
        <w:numPr>
          <w:ilvl w:val="0"/>
          <w:numId w:val="0"/>
        </w:numPr>
        <w:ind w:firstLine="482"/>
        <w:spacing w:line="440" w:lineRule="exact"/>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lang w:val="en-US" w:eastAsia="zh-CN"/>
        </w:rPr>
      </w:r>
      <w:r/>
    </w:p>
    <w:p>
      <w:pPr>
        <w:pStyle w:val="1225"/>
        <w:numPr>
          <w:ilvl w:val="0"/>
          <w:numId w:val="0"/>
        </w:numPr>
        <w:ind w:firstLine="482"/>
        <w:spacing w:line="440" w:lineRule="exact"/>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lang w:val="en-US" w:eastAsia="zh-CN"/>
        </w:rPr>
      </w:r>
      <w:r/>
    </w:p>
    <w:p>
      <w:pPr>
        <w:pStyle w:val="1225"/>
        <w:numPr>
          <w:ilvl w:val="0"/>
          <w:numId w:val="0"/>
        </w:numPr>
        <w:ind w:firstLine="482"/>
        <w:spacing w:line="440" w:lineRule="exact"/>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lang w:val="en-US" w:eastAsia="zh-CN"/>
        </w:rPr>
      </w:r>
      <w:r/>
    </w:p>
    <w:p>
      <w:pPr>
        <w:pStyle w:val="1225"/>
        <w:ind w:firstLine="482"/>
        <w:spacing w:line="440" w:lineRule="exact"/>
        <w:rPr>
          <w:rFonts w:ascii="宋体" w:hAnsi="宋体" w:eastAsia="宋体" w:cs="Times New Roman"/>
          <w:b/>
          <w:bCs w:val="0"/>
          <w:color w:val="000000"/>
          <w:sz w:val="24"/>
          <w:szCs w:val="24"/>
          <w:lang w:val="en-US" w:eastAsia="zh-CN"/>
        </w:rPr>
      </w:pPr>
      <w:r>
        <w:rPr>
          <w:rFonts w:ascii="宋体" w:hAnsi="宋体" w:eastAsia="宋体" w:cs="Times New Roman"/>
          <w:b/>
          <w:bCs w:val="0"/>
          <w:color w:val="000000"/>
          <w:sz w:val="24"/>
          <w:szCs w:val="24"/>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lang w:val="en-US" w:eastAsia="zh-CN"/>
        </w:rPr>
        <w:t xml:space="preserve">，包括但不限于原材料成本、人工成本、制造费用等，</w:t>
      </w:r>
      <w:r>
        <w:rPr>
          <w:rFonts w:ascii="宋体" w:hAnsi="宋体" w:eastAsia="宋体" w:cs="Times New Roman"/>
          <w:b/>
          <w:bCs w:val="0"/>
          <w:color w:val="000000"/>
          <w:sz w:val="24"/>
          <w:szCs w:val="24"/>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lang w:val="en-US" w:eastAsia="zh-CN"/>
        </w:rPr>
      </w:r>
      <w:r/>
    </w:p>
    <w:p>
      <w:pPr>
        <w:pStyle w:val="1228"/>
        <w:ind w:firstLine="361"/>
        <w:spacing w:before="120" w:after="120" w:line="440" w:lineRule="exact"/>
        <w:rPr>
          <w:rFonts w:hint="eastAsia"/>
          <w:color w:val="000000"/>
          <w:sz w:val="24"/>
          <w:szCs w:val="24"/>
          <w:highlight w:val="none"/>
        </w:rPr>
      </w:pPr>
      <w:r/>
      <w:bookmarkStart w:id="171" w:name="_Toc120614219"/>
      <w:r>
        <w:rPr>
          <w:rFonts w:hint="eastAsia"/>
          <w:color w:val="000000"/>
          <w:sz w:val="24"/>
          <w:szCs w:val="24"/>
          <w:highlight w:val="none"/>
        </w:rPr>
        <w:t xml:space="preserve">六、</w:t>
      </w:r>
      <w:bookmarkEnd w:id="168"/>
      <w:r/>
      <w:bookmarkEnd w:id="169"/>
      <w:r/>
      <w:bookmarkEnd w:id="170"/>
      <w:r>
        <w:rPr>
          <w:rFonts w:hint="eastAsia"/>
          <w:color w:val="000000"/>
          <w:sz w:val="24"/>
          <w:szCs w:val="24"/>
          <w:highlight w:val="none"/>
        </w:rPr>
        <w:t xml:space="preserve">定标</w:t>
      </w:r>
      <w:bookmarkEnd w:id="171"/>
      <w:r>
        <w:rPr>
          <w:rFonts w:hint="eastAsia"/>
          <w:color w:val="000000"/>
          <w:sz w:val="24"/>
          <w:szCs w:val="24"/>
          <w:highlight w:val="none"/>
        </w:rPr>
      </w:r>
      <w:r/>
    </w:p>
    <w:p>
      <w:pPr>
        <w:pStyle w:val="1229"/>
        <w:ind w:firstLine="480"/>
        <w:spacing w:before="0" w:after="0" w:line="440" w:lineRule="exact"/>
        <w:rPr>
          <w:rFonts w:hint="eastAsia" w:ascii="黑体" w:hAnsi="宋体"/>
          <w:b w:val="0"/>
          <w:color w:val="000000"/>
          <w:sz w:val="24"/>
          <w:szCs w:val="24"/>
          <w:highlight w:val="none"/>
        </w:rPr>
      </w:pPr>
      <w:r/>
      <w:bookmarkStart w:id="172" w:name="_Toc513029238"/>
      <w:r/>
      <w:bookmarkStart w:id="173" w:name="_Toc20823310"/>
      <w:r/>
      <w:bookmarkStart w:id="174" w:name="_Toc16938554"/>
      <w:r>
        <w:rPr>
          <w:rFonts w:hint="eastAsia" w:ascii="黑体" w:hAnsi="宋体"/>
          <w:b w:val="0"/>
          <w:color w:val="000000"/>
          <w:sz w:val="24"/>
          <w:szCs w:val="24"/>
          <w:highlight w:val="none"/>
        </w:rPr>
        <w:t xml:space="preserve">27、</w:t>
      </w:r>
      <w:bookmarkEnd w:id="172"/>
      <w:r>
        <w:rPr>
          <w:rFonts w:hint="eastAsia" w:ascii="黑体" w:hAnsi="宋体"/>
          <w:b w:val="0"/>
          <w:color w:val="000000"/>
          <w:sz w:val="24"/>
          <w:szCs w:val="24"/>
          <w:highlight w:val="none"/>
        </w:rPr>
        <w:t xml:space="preserve">确定</w:t>
      </w:r>
      <w:bookmarkEnd w:id="173"/>
      <w:r/>
      <w:bookmarkEnd w:id="174"/>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rPr>
          <w:rFonts w:hint="eastAsia"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bookmarkStart w:id="175"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2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5"/>
      <w:r>
        <w:rPr>
          <w:rFonts w:hint="eastAsia" w:ascii="黑体" w:hAnsi="宋体"/>
          <w:b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22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22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22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225"/>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rPr>
          <w:rFonts w:hint="eastAsia" w:hAnsi="宋体" w:cs="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225"/>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rPr>
          <w:rFonts w:hint="eastAsia" w:ascii="宋体" w:hAnsi="宋体"/>
          <w:color w:val="000000"/>
          <w:sz w:val="24"/>
          <w:szCs w:val="24"/>
          <w:highlight w:val="none"/>
        </w:rPr>
      </w:r>
      <w:r/>
    </w:p>
    <w:p>
      <w:pPr>
        <w:pStyle w:val="1225"/>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rPr>
          <w:rFonts w:hint="eastAsia" w:ascii="宋体" w:hAnsi="宋体"/>
          <w:color w:val="000000"/>
          <w:sz w:val="24"/>
          <w:szCs w:val="24"/>
          <w:highlight w:val="none"/>
        </w:rPr>
      </w:r>
      <w:r/>
    </w:p>
    <w:p>
      <w:pPr>
        <w:pStyle w:val="122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22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22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228"/>
        <w:ind w:firstLine="361"/>
        <w:spacing w:before="120" w:after="120" w:line="440" w:lineRule="exact"/>
        <w:rPr>
          <w:rFonts w:hint="eastAsia"/>
          <w:color w:val="000000"/>
          <w:sz w:val="24"/>
          <w:szCs w:val="24"/>
          <w:highlight w:val="none"/>
        </w:rPr>
      </w:pPr>
      <w:r/>
      <w:bookmarkStart w:id="176" w:name="_Toc120614220"/>
      <w:r/>
      <w:bookmarkStart w:id="177" w:name="_Toc513029236"/>
      <w:r/>
      <w:bookmarkStart w:id="178" w:name="_Toc16938552"/>
      <w:r/>
      <w:bookmarkStart w:id="179" w:name="_Toc20823308"/>
      <w:r>
        <w:rPr>
          <w:rFonts w:hint="eastAsia"/>
          <w:color w:val="000000"/>
          <w:sz w:val="24"/>
          <w:szCs w:val="24"/>
          <w:highlight w:val="none"/>
        </w:rPr>
        <w:t xml:space="preserve">七、授予合同</w:t>
      </w:r>
      <w:bookmarkEnd w:id="176"/>
      <w:r>
        <w:rPr>
          <w:rFonts w:hint="eastAsia"/>
          <w:color w:val="000000"/>
          <w:sz w:val="24"/>
          <w:szCs w:val="24"/>
          <w:highlight w:val="none"/>
        </w:rPr>
      </w:r>
      <w:r/>
    </w:p>
    <w:p>
      <w:pPr>
        <w:pStyle w:val="1229"/>
        <w:ind w:firstLine="480"/>
        <w:spacing w:before="0" w:after="0" w:line="440" w:lineRule="exact"/>
        <w:rPr>
          <w:rFonts w:hint="eastAsia" w:ascii="黑体" w:hAnsi="宋体"/>
          <w:b w:val="0"/>
          <w:color w:val="000000"/>
          <w:sz w:val="24"/>
          <w:szCs w:val="24"/>
          <w:highlight w:val="none"/>
        </w:rPr>
      </w:pPr>
      <w:r/>
      <w:bookmarkEnd w:id="177"/>
      <w:r/>
      <w:bookmarkEnd w:id="178"/>
      <w:r/>
      <w:bookmarkEnd w:id="179"/>
      <w:r/>
      <w:bookmarkStart w:id="180" w:name="_Toc16938553"/>
      <w:r/>
      <w:bookmarkStart w:id="181" w:name="_Toc20823309"/>
      <w:r/>
      <w:bookmarkStart w:id="182" w:name="_Toc513029237"/>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225"/>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22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22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rPr>
          <w:rFonts w:hint="eastAsia" w:ascii="宋体" w:hAnsi="宋体"/>
          <w:color w:val="000000"/>
          <w:sz w:val="24"/>
          <w:szCs w:val="24"/>
          <w:highlight w:val="none"/>
        </w:rPr>
      </w:r>
      <w:r/>
    </w:p>
    <w:p>
      <w:pPr>
        <w:pStyle w:val="122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229"/>
        <w:ind w:firstLine="480"/>
        <w:spacing w:before="0" w:after="0" w:line="440" w:lineRule="exact"/>
        <w:rPr>
          <w:rFonts w:ascii="黑体" w:hAnsi="宋体"/>
          <w:b w:val="0"/>
          <w:color w:val="000000"/>
          <w:sz w:val="24"/>
          <w:szCs w:val="24"/>
          <w:highlight w:val="none"/>
        </w:rPr>
      </w:pPr>
      <w:r/>
      <w:bookmarkEnd w:id="180"/>
      <w:r/>
      <w:bookmarkEnd w:id="181"/>
      <w:r/>
      <w:bookmarkEnd w:id="182"/>
      <w:r/>
      <w:bookmarkStart w:id="183" w:name="_Toc20823314"/>
      <w:r/>
      <w:bookmarkStart w:id="184" w:name="_Toc479757207"/>
      <w:r/>
      <w:bookmarkStart w:id="185" w:name="_Toc120614221"/>
      <w:r/>
      <w:bookmarkStart w:id="186" w:name="_Toc16938558"/>
      <w:r/>
      <w:bookmarkStart w:id="187" w:name="_Toc513029242"/>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244"/>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244"/>
        <w:spacing w:line="440" w:lineRule="exact"/>
        <w:rPr>
          <w:rFonts w:hint="eastAsia"/>
          <w:color w:val="000000"/>
          <w:sz w:val="24"/>
          <w:szCs w:val="24"/>
          <w:highlight w:val="none"/>
        </w:rPr>
      </w:pPr>
      <w:r>
        <w:rPr>
          <w:rFonts w:hint="eastAsia"/>
          <w:color w:val="000000"/>
          <w:sz w:val="24"/>
          <w:szCs w:val="24"/>
          <w:highlight w:val="none"/>
        </w:rPr>
      </w:r>
      <w:r/>
    </w:p>
    <w:p>
      <w:pPr>
        <w:pStyle w:val="1244"/>
        <w:spacing w:line="440" w:lineRule="exact"/>
        <w:rPr>
          <w:rFonts w:hint="eastAsia"/>
          <w:color w:val="000000"/>
          <w:sz w:val="24"/>
          <w:szCs w:val="24"/>
          <w:highlight w:val="none"/>
        </w:rPr>
      </w:pPr>
      <w:r>
        <w:rPr>
          <w:rFonts w:hint="eastAsia"/>
          <w:color w:val="000000"/>
          <w:sz w:val="24"/>
          <w:szCs w:val="24"/>
          <w:highlight w:val="none"/>
        </w:rPr>
      </w:r>
      <w:r/>
    </w:p>
    <w:p>
      <w:pPr>
        <w:pStyle w:val="1244"/>
        <w:spacing w:line="440" w:lineRule="exact"/>
        <w:rPr>
          <w:rFonts w:hint="eastAsia"/>
          <w:color w:val="000000"/>
          <w:sz w:val="24"/>
          <w:szCs w:val="24"/>
          <w:highlight w:val="none"/>
        </w:rPr>
      </w:pPr>
      <w:r>
        <w:rPr>
          <w:rFonts w:hint="eastAsia"/>
          <w:color w:val="000000"/>
          <w:sz w:val="24"/>
          <w:szCs w:val="24"/>
          <w:highlight w:val="none"/>
        </w:rPr>
      </w:r>
      <w:r/>
    </w:p>
    <w:p>
      <w:pPr>
        <w:pStyle w:val="1304"/>
        <w:tabs>
          <w:tab w:val="center" w:pos="4153" w:leader="none"/>
          <w:tab w:val="right" w:pos="8306" w:leader="none"/>
        </w:tabs>
        <w:rPr>
          <w:rFonts w:hint="eastAsia"/>
          <w:color w:val="000000"/>
          <w:sz w:val="24"/>
          <w:szCs w:val="24"/>
          <w:highlight w:val="none"/>
        </w:rPr>
      </w:pPr>
      <w:r>
        <w:rPr>
          <w:rFonts w:hint="eastAsia"/>
          <w:color w:val="000000"/>
          <w:sz w:val="24"/>
          <w:szCs w:val="24"/>
          <w:highlight w:val="none"/>
        </w:rPr>
      </w:r>
      <w:r/>
    </w:p>
    <w:p>
      <w:pPr>
        <w:pStyle w:val="1226"/>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t xml:space="preserve">第三章  合同</w:t>
      </w:r>
      <w:bookmarkEnd w:id="183"/>
      <w:r/>
      <w:bookmarkEnd w:id="184"/>
      <w:r/>
      <w:bookmarkEnd w:id="185"/>
      <w:r/>
      <w:bookmarkEnd w:id="186"/>
      <w:r/>
      <w:bookmarkEnd w:id="187"/>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225"/>
        <w:ind w:firstLine="480"/>
        <w:spacing w:line="440" w:lineRule="exact"/>
        <w:rPr>
          <w:rFonts w:hint="eastAsia" w:ascii="宋体" w:hAnsi="宋体"/>
          <w:bCs/>
          <w:color w:val="000000"/>
          <w:sz w:val="24"/>
          <w:highlight w:val="none"/>
        </w:rPr>
      </w:pPr>
      <w:r/>
      <w:r/>
      <w:r/>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348"/>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348"/>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4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25"/>
                            </w:pPr>
                            <w:r/>
                            <w:r/>
                          </w:p>
                        </w:txbxContent>
                      </wps:txbx>
                      <wps:bodyPr wrap="square" upright="1"/>
                    </wps:wsp>
                  </a:graphicData>
                </a:graphic>
              </wp:anchor>
            </w:drawing>
          </mc:Choice>
          <mc:Fallback>
            <w:pict>
              <v:shape id="shape 12" o:spid="_x0000_s12"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348"/>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4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25"/>
                      </w:pPr>
                      <w:r/>
                      <w:r/>
                    </w:p>
                  </w:txbxContent>
                </v:textbox>
              </v:shape>
            </w:pict>
          </mc:Fallback>
        </mc:AlternateContent>
      </w:r>
      <w:r>
        <w:rPr>
          <w:rFonts w:hint="eastAsia" w:ascii="仿宋_GB2312" w:eastAsia="仿宋_GB2312" w:cs="仿宋_GB2312"/>
          <w:b/>
          <w:bCs/>
          <w:color w:val="000000"/>
          <w:position w:val="120"/>
          <w:highlight w:val="none"/>
        </w:rPr>
        <w:t xml:space="preserve">合同编号：YZCJJ</w:t>
      </w:r>
      <w:r>
        <w:rPr>
          <w:rFonts w:hint="eastAsia" w:ascii="仿宋_GB2312" w:eastAsia="仿宋_GB2312" w:cs="仿宋_GB2312"/>
          <w:b/>
          <w:bCs/>
          <w:color w:val="000000"/>
          <w:position w:val="120"/>
          <w:highlight w:val="none"/>
          <w:lang w:eastAsia="zh-CN"/>
        </w:rPr>
        <w:t xml:space="preserve">2026</w:t>
      </w:r>
      <w:r>
        <w:rPr>
          <w:rFonts w:hint="eastAsia" w:ascii="仿宋_GB2312" w:eastAsia="仿宋_GB2312" w:cs="仿宋_GB2312"/>
          <w:b/>
          <w:bCs/>
          <w:color w:val="000000"/>
          <w:position w:val="120"/>
          <w:highlight w:val="none"/>
        </w:rPr>
        <w:t xml:space="preserve">-0</w:t>
      </w:r>
      <w:r>
        <w:rPr>
          <w:rFonts w:hint="eastAsia" w:ascii="仿宋_GB2312" w:eastAsia="仿宋_GB2312" w:cs="仿宋_GB2312"/>
          <w:b/>
          <w:bCs/>
          <w:color w:val="000000"/>
          <w:position w:val="120"/>
          <w:highlight w:val="none"/>
          <w:lang w:val="en-US" w:eastAsia="zh-CN"/>
        </w:rPr>
        <w:t xml:space="preserve">x</w:t>
      </w:r>
      <w:r>
        <w:rPr>
          <w:rFonts w:hint="eastAsia" w:ascii="仿宋_GB2312" w:eastAsia="仿宋_GB2312" w:cs="仿宋_GB2312"/>
          <w:b/>
          <w:bCs/>
          <w:color w:val="000000"/>
          <w:position w:val="120"/>
          <w:highlight w:val="none"/>
          <w:lang w:val="en-US" w:eastAsia="zh-CN"/>
        </w:rPr>
        <w:t xml:space="preserve">x</w:t>
      </w:r>
      <w:r>
        <w:rPr>
          <w:rFonts w:ascii="仿宋_GB2312" w:eastAsia="仿宋_GB2312" w:cs="仿宋_GB2312"/>
          <w:b/>
          <w:bCs/>
          <w:color w:val="000000"/>
          <w:position w:val="120"/>
          <w:highlight w:val="none"/>
          <w:lang w:val="en-US" w:eastAsia="zh-CN"/>
        </w:rPr>
      </w:r>
      <w:r/>
    </w:p>
    <w:p>
      <w:pPr>
        <w:pStyle w:val="1348"/>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w:t>
      </w:r>
      <w:r>
        <w:rPr>
          <w:rFonts w:hint="eastAsia" w:ascii="黑体" w:eastAsia="黑体" w:cs="黑体"/>
          <w:b/>
          <w:bCs/>
          <w:color w:val="000000"/>
          <w:sz w:val="72"/>
          <w:szCs w:val="72"/>
          <w:highlight w:val="none"/>
          <w:lang w:eastAsia="zh-CN" w:bidi="ar"/>
        </w:rPr>
        <w:t xml:space="preserve">采购</w:t>
      </w:r>
      <w:r>
        <w:rPr>
          <w:rFonts w:hint="eastAsia" w:ascii="黑体" w:eastAsia="黑体" w:cs="黑体"/>
          <w:b/>
          <w:bCs/>
          <w:color w:val="000000"/>
          <w:sz w:val="72"/>
          <w:szCs w:val="72"/>
          <w:highlight w:val="none"/>
          <w:lang w:bidi="ar"/>
        </w:rPr>
        <w:t xml:space="preserve">合同</w:t>
      </w:r>
      <w:r>
        <w:rPr>
          <w:rFonts w:hint="eastAsia" w:ascii="黑体" w:eastAsia="黑体" w:cs="黑体"/>
          <w:b/>
          <w:bCs/>
          <w:color w:val="000000"/>
          <w:sz w:val="72"/>
          <w:szCs w:val="72"/>
          <w:highlight w:val="none"/>
          <w:lang w:bidi="ar"/>
        </w:rPr>
      </w:r>
      <w:r/>
    </w:p>
    <w:p>
      <w:pPr>
        <w:pStyle w:val="1348"/>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34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4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4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4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348"/>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eastAsia="zh-CN" w:bidi="ar"/>
        </w:rPr>
        <w:t xml:space="preserve">六</w:t>
      </w:r>
      <w:r>
        <w:rPr>
          <w:rFonts w:hint="eastAsia" w:ascii="黑体" w:eastAsia="黑体" w:cs="黑体"/>
          <w:color w:val="000000"/>
          <w:sz w:val="32"/>
          <w:szCs w:val="32"/>
          <w:highlight w:val="none"/>
          <w:lang w:bidi="ar"/>
        </w:rPr>
        <w:t xml:space="preserve">年  月    日</w:t>
      </w:r>
      <w:r>
        <w:rPr>
          <w:b/>
          <w:bCs/>
          <w:color w:val="000000"/>
          <w:sz w:val="32"/>
          <w:szCs w:val="32"/>
          <w:highlight w:val="none"/>
        </w:rPr>
      </w:r>
      <w:r/>
    </w:p>
    <w:p>
      <w:pPr>
        <w:pStyle w:val="1265"/>
        <w:spacing w:line="440" w:lineRule="exact"/>
        <w:rPr>
          <w:rFonts w:hAnsi="宋体"/>
          <w:color w:val="000000"/>
          <w:sz w:val="24"/>
          <w:szCs w:val="24"/>
          <w:highlight w:val="none"/>
        </w:rPr>
      </w:pPr>
      <w:r>
        <w:rPr>
          <w:rFonts w:hAnsi="宋体"/>
          <w:color w:val="000000"/>
          <w:sz w:val="24"/>
          <w:szCs w:val="24"/>
          <w:highlight w:val="none"/>
        </w:rPr>
      </w:r>
      <w:r/>
    </w:p>
    <w:p>
      <w:pPr>
        <w:pStyle w:val="1265"/>
        <w:spacing w:line="440" w:lineRule="exact"/>
        <w:rPr>
          <w:rFonts w:hint="eastAsia" w:hAnsi="宋体" w:eastAsia="宋体"/>
          <w:color w:val="000000"/>
          <w:sz w:val="24"/>
          <w:szCs w:val="24"/>
          <w:highlight w:val="none"/>
          <w:lang w:eastAsia="zh-CN"/>
        </w:rPr>
      </w:pPr>
      <w:r>
        <w:rPr>
          <w:rFonts w:hAnsi="宋体"/>
          <w:color w:val="000000"/>
          <w:sz w:val="24"/>
          <w:szCs w:val="24"/>
          <w:highlight w:val="none"/>
        </w:rPr>
        <w:t xml:space="preserve">项目</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镇江市扬中生态环境局空气自动站设备更新项目</w:t>
      </w:r>
      <w:r>
        <w:rPr>
          <w:rFonts w:hint="eastAsia" w:hAnsi="宋体" w:eastAsia="宋体"/>
          <w:color w:val="000000"/>
          <w:sz w:val="24"/>
          <w:szCs w:val="24"/>
          <w:highlight w:val="none"/>
          <w:lang w:eastAsia="zh-CN"/>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JSZC-321182-JJGS-G2026-0012</w:t>
      </w:r>
      <w:r>
        <w:rPr>
          <w:rFonts w:hint="eastAsia" w:hAnsi="宋体"/>
          <w:color w:val="000000"/>
          <w:sz w:val="24"/>
          <w:szCs w:val="24"/>
          <w:highlight w:val="none"/>
        </w:rPr>
        <w:t xml:space="preserve">    </w:t>
      </w:r>
      <w:r>
        <w:rPr>
          <w:rFonts w:hAnsi="宋体"/>
          <w:color w:val="000000"/>
          <w:sz w:val="24"/>
          <w:szCs w:val="24"/>
          <w:highlight w:val="none"/>
        </w:rPr>
      </w:r>
      <w:r/>
    </w:p>
    <w:p>
      <w:pPr>
        <w:pStyle w:val="1265"/>
        <w:spacing w:line="44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 镇江市扬中生态环境局</w:t>
      </w:r>
      <w:r>
        <w:rPr>
          <w:rFonts w:hint="eastAsia" w:hAnsi="宋体" w:eastAsia="宋体"/>
          <w:color w:val="000000"/>
          <w:sz w:val="24"/>
          <w:szCs w:val="24"/>
          <w:highlight w:val="none"/>
          <w:u w:val="single"/>
          <w:lang w:eastAsia="zh-CN"/>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乙方：（卖方）________</w:t>
      </w:r>
      <w:r>
        <w:rPr>
          <w:rFonts w:hAnsi="宋体"/>
          <w:color w:val="000000"/>
          <w:sz w:val="24"/>
          <w:szCs w:val="24"/>
          <w:highlight w:val="none"/>
        </w:rPr>
      </w:r>
      <w:r/>
    </w:p>
    <w:p>
      <w:pPr>
        <w:pStyle w:val="1265"/>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镇江市扬中生态环境局空气自动站设备更新项目</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JSZC-321182-JJGS-G2026-0012</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265"/>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65"/>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镇江市扬中生态环境</w:t>
      </w:r>
      <w:r>
        <w:rPr>
          <w:rFonts w:hint="eastAsia" w:hAnsi="宋体"/>
          <w:color w:val="000000"/>
          <w:sz w:val="24"/>
          <w:szCs w:val="24"/>
          <w:highlight w:val="none"/>
          <w:lang w:eastAsia="zh-CN"/>
        </w:rPr>
        <w:t xml:space="preserve">局空气自动站设备更新项目</w:t>
      </w:r>
      <w:r>
        <w:rPr>
          <w:rFonts w:hint="eastAsia" w:hAnsi="宋体"/>
          <w:color w:val="000000"/>
          <w:sz w:val="24"/>
          <w:szCs w:val="24"/>
          <w:highlight w:val="none"/>
        </w:rPr>
        <w:t xml:space="preserve">；</w:t>
      </w:r>
      <w:r>
        <w:rPr>
          <w:rFonts w:hAnsi="宋体"/>
          <w:color w:val="000000"/>
          <w:sz w:val="24"/>
          <w:szCs w:val="24"/>
          <w:highlight w:val="none"/>
        </w:rPr>
      </w:r>
      <w:r/>
    </w:p>
    <w:p>
      <w:pPr>
        <w:pStyle w:val="1265"/>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265"/>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 标的数量（规模）：具体详见需求；</w:t>
      </w:r>
      <w:r>
        <w:rPr>
          <w:rFonts w:hint="eastAsia" w:hAnsi="宋体"/>
          <w:color w:val="000000"/>
          <w:sz w:val="24"/>
          <w:szCs w:val="24"/>
          <w:highlight w:val="none"/>
        </w:rPr>
      </w:r>
      <w:r/>
    </w:p>
    <w:p>
      <w:pPr>
        <w:pStyle w:val="1265"/>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 履行时间（期限）：        ；</w:t>
      </w:r>
      <w:r>
        <w:rPr>
          <w:rFonts w:hint="eastAsia" w:hAnsi="宋体"/>
          <w:color w:val="000000"/>
          <w:sz w:val="24"/>
          <w:szCs w:val="24"/>
          <w:highlight w:val="none"/>
        </w:rPr>
      </w:r>
      <w:r/>
    </w:p>
    <w:p>
      <w:pPr>
        <w:pStyle w:val="1265"/>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1265"/>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6质保期限：自设备验收之日起</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年；</w:t>
      </w:r>
      <w:r>
        <w:rPr>
          <w:rFonts w:hAnsi="宋体"/>
          <w:color w:val="000000"/>
          <w:sz w:val="24"/>
          <w:szCs w:val="24"/>
          <w:highlight w:val="none"/>
        </w:rPr>
      </w:r>
      <w:r/>
    </w:p>
    <w:p>
      <w:pPr>
        <w:pStyle w:val="1265"/>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1.7履行方式：详见合同、招标文件、投标文件等。</w:t>
      </w:r>
      <w:r>
        <w:rPr>
          <w:rFonts w:hint="eastAsia" w:hAnsi="宋体"/>
          <w:color w:val="000000"/>
          <w:sz w:val="24"/>
          <w:szCs w:val="24"/>
          <w:highlight w:val="none"/>
        </w:rPr>
      </w:r>
      <w:r/>
    </w:p>
    <w:p>
      <w:pPr>
        <w:pStyle w:val="1265"/>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65"/>
        <w:ind w:left="479" w:firstLine="69"/>
        <w:spacing w:line="440" w:lineRule="exact"/>
        <w:rPr>
          <w:rFonts w:hint="eastAsia"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1265"/>
        <w:ind w:firstLine="480"/>
        <w:spacing w:line="440" w:lineRule="exact"/>
        <w:rPr>
          <w:rFonts w:hint="eastAsia" w:hAnsi="宋体"/>
          <w:color w:val="000000"/>
          <w:sz w:val="24"/>
          <w:szCs w:val="24"/>
          <w:highlight w:val="none"/>
          <w:lang w:val="zh-TW" w:eastAsia="zh-TW"/>
        </w:rPr>
      </w:pPr>
      <w:r>
        <w:rPr>
          <w:rFonts w:hint="eastAsia" w:hAnsi="宋体"/>
          <w:color w:val="000000"/>
          <w:sz w:val="24"/>
          <w:szCs w:val="24"/>
          <w:highlight w:val="none"/>
        </w:rPr>
        <w:t xml:space="preserve">2.2</w:t>
      </w:r>
      <w:r>
        <w:rPr>
          <w:rFonts w:hint="eastAsia" w:hAnsi="宋体"/>
          <w:color w:val="000000"/>
          <w:sz w:val="24"/>
          <w:szCs w:val="24"/>
          <w:highlight w:val="none"/>
          <w:lang w:val="zh-TW" w:eastAsia="zh-TW"/>
        </w:rPr>
        <w:t xml:space="preserve">报价应包括全部设备、辅助材料、备品、备件、调试、</w:t>
      </w:r>
      <w:r>
        <w:rPr>
          <w:rFonts w:hint="eastAsia" w:hAnsi="宋体"/>
          <w:color w:val="000000"/>
          <w:sz w:val="24"/>
          <w:szCs w:val="24"/>
          <w:highlight w:val="none"/>
          <w:lang w:val="zh-TW" w:eastAsia="zh-CN"/>
        </w:rPr>
        <w:t xml:space="preserve">验收、</w:t>
      </w:r>
      <w:r>
        <w:rPr>
          <w:rFonts w:hint="eastAsia" w:hAnsi="宋体"/>
          <w:color w:val="000000"/>
          <w:sz w:val="24"/>
          <w:szCs w:val="24"/>
          <w:highlight w:val="none"/>
          <w:lang w:val="zh-TW" w:eastAsia="zh-TW"/>
        </w:rPr>
        <w:t xml:space="preserve">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rPr>
          <w:rFonts w:hint="eastAsia" w:hAnsi="宋体"/>
          <w:color w:val="000000"/>
          <w:sz w:val="24"/>
          <w:szCs w:val="24"/>
          <w:highlight w:val="none"/>
          <w:lang w:val="zh-TW" w:eastAsia="zh-TW"/>
        </w:rPr>
      </w:r>
      <w:r/>
    </w:p>
    <w:p>
      <w:pPr>
        <w:pStyle w:val="1225"/>
        <w:spacing w:line="440" w:lineRule="exact"/>
        <w:rPr>
          <w:rFonts w:hint="eastAsia" w:ascii="宋体" w:hAnsi="宋体" w:eastAsia="宋体" w:cs="Courier New"/>
          <w:sz w:val="24"/>
          <w:szCs w:val="24"/>
          <w:highlight w:val="none"/>
          <w:lang w:eastAsia="zh-CN"/>
        </w:rPr>
      </w:pPr>
      <w:r>
        <w:rPr>
          <w:rFonts w:hint="eastAsia" w:ascii="宋体" w:hAnsi="宋体" w:cs="Courier New"/>
          <w:b/>
          <w:sz w:val="24"/>
          <w:szCs w:val="24"/>
          <w:highlight w:val="none"/>
          <w:lang w:eastAsia="zh-CN"/>
        </w:rPr>
        <w:t xml:space="preserve">三、质量保证</w:t>
      </w:r>
      <w:r>
        <w:rPr>
          <w:rFonts w:hint="eastAsia" w:ascii="宋体" w:hAnsi="宋体" w:eastAsia="宋体" w:cs="Courier New"/>
          <w:sz w:val="24"/>
          <w:szCs w:val="24"/>
          <w:highlight w:val="none"/>
          <w:lang w:eastAsia="zh-CN"/>
        </w:rPr>
      </w:r>
      <w:r/>
    </w:p>
    <w:p>
      <w:pPr>
        <w:pStyle w:val="1265"/>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val="en-US" w:eastAsia="zh-CN"/>
        </w:rPr>
        <w:t xml:space="preserve">3.1</w:t>
      </w:r>
      <w:r>
        <w:rPr>
          <w:rFonts w:hint="eastAsia" w:hAnsi="宋体"/>
          <w:b w:val="0"/>
          <w:bCs/>
          <w:color w:val="000000"/>
          <w:sz w:val="24"/>
          <w:szCs w:val="24"/>
          <w:highlight w:val="none"/>
          <w:lang w:eastAsia="zh-CN"/>
        </w:rPr>
        <w:t xml:space="preserve">乙方所提供的货物必须完全符合相关质量标准，经正确安装，正常使用和维护保养条件下，在其使用寿命周期内应具有预期的性能。</w:t>
      </w:r>
      <w:r>
        <w:rPr>
          <w:rFonts w:hint="eastAsia" w:hAnsi="宋体"/>
          <w:b w:val="0"/>
          <w:bCs/>
          <w:color w:val="000000"/>
          <w:sz w:val="24"/>
          <w:szCs w:val="24"/>
          <w:highlight w:val="none"/>
          <w:lang w:eastAsia="zh-CN"/>
        </w:rPr>
      </w:r>
      <w:r/>
    </w:p>
    <w:p>
      <w:pPr>
        <w:pStyle w:val="1265"/>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val="en-US" w:eastAsia="zh-CN"/>
        </w:rPr>
        <w:t xml:space="preserve">3.2</w:t>
      </w:r>
      <w:r>
        <w:rPr>
          <w:rFonts w:hint="eastAsia" w:hAnsi="宋体"/>
          <w:b w:val="0"/>
          <w:bCs/>
          <w:color w:val="000000"/>
          <w:sz w:val="24"/>
          <w:szCs w:val="24"/>
          <w:highlight w:val="none"/>
          <w:lang w:eastAsia="zh-CN"/>
        </w:rPr>
        <w:t xml:space="preserve">乙方在所供货物最终验收后提供</w:t>
      </w:r>
      <w:r>
        <w:rPr>
          <w:rFonts w:hint="eastAsia" w:hAnsi="宋体"/>
          <w:b w:val="0"/>
          <w:bCs/>
          <w:color w:val="000000"/>
          <w:sz w:val="24"/>
          <w:szCs w:val="24"/>
          <w:highlight w:val="none"/>
          <w:u w:val="single"/>
          <w:lang w:val="en-US" w:eastAsia="zh-CN"/>
        </w:rPr>
        <w:t xml:space="preserve">   </w:t>
      </w:r>
      <w:r>
        <w:rPr>
          <w:rFonts w:hint="eastAsia" w:hAnsi="宋体"/>
          <w:b w:val="0"/>
          <w:bCs/>
          <w:color w:val="000000"/>
          <w:sz w:val="24"/>
          <w:szCs w:val="24"/>
          <w:highlight w:val="none"/>
          <w:lang w:eastAsia="zh-CN"/>
        </w:rPr>
        <w:t xml:space="preserve">年的免费质量保证，在质量保证期内，乙方履行保修义务并免收材料和人工等一切费用，由于乙方原因产生的任何不足或故障，由乙方负责完善相关内容，乙方提供终身维修服务。</w:t>
      </w:r>
      <w:r>
        <w:rPr>
          <w:rFonts w:hint="eastAsia" w:hAnsi="宋体"/>
          <w:b w:val="0"/>
          <w:bCs/>
          <w:color w:val="000000"/>
          <w:sz w:val="24"/>
          <w:szCs w:val="24"/>
          <w:highlight w:val="none"/>
          <w:lang w:eastAsia="zh-CN"/>
        </w:rPr>
      </w:r>
      <w:r/>
    </w:p>
    <w:p>
      <w:pPr>
        <w:pStyle w:val="1265"/>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val="en-US" w:eastAsia="zh-CN"/>
        </w:rPr>
        <w:t xml:space="preserve">3.3</w:t>
      </w:r>
      <w:r>
        <w:rPr>
          <w:rFonts w:hint="eastAsia" w:hAnsi="宋体"/>
          <w:b w:val="0"/>
          <w:bCs/>
          <w:color w:val="000000"/>
          <w:sz w:val="24"/>
          <w:szCs w:val="24"/>
          <w:highlight w:val="none"/>
          <w:lang w:eastAsia="zh-CN"/>
        </w:rPr>
        <w:t xml:space="preserve">设备的的质量保证期从设备安装调试后无质量问题能够正常使用，双方签订安装验收报告单后开始计算。</w:t>
      </w:r>
      <w:r>
        <w:rPr>
          <w:rFonts w:hint="eastAsia" w:hAnsi="宋体"/>
          <w:b w:val="0"/>
          <w:bCs/>
          <w:color w:val="000000"/>
          <w:sz w:val="24"/>
          <w:szCs w:val="24"/>
          <w:highlight w:val="none"/>
          <w:lang w:eastAsia="zh-CN"/>
        </w:rPr>
      </w:r>
      <w:r/>
    </w:p>
    <w:p>
      <w:pPr>
        <w:pStyle w:val="1265"/>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val="en-US" w:eastAsia="zh-CN"/>
        </w:rPr>
        <w:t xml:space="preserve">3.4</w:t>
      </w:r>
      <w:r>
        <w:rPr>
          <w:rFonts w:hint="eastAsia" w:hAnsi="宋体"/>
          <w:b w:val="0"/>
          <w:bCs/>
          <w:color w:val="000000"/>
          <w:sz w:val="24"/>
          <w:szCs w:val="24"/>
          <w:highlight w:val="none"/>
          <w:lang w:eastAsia="zh-CN"/>
        </w:rPr>
        <w:t xml:space="preserve">在设备整个使用期，乙方应确保设备正常使用。在接到甲方维修请求后，应及时派人到达现场实施维修排除故障，最长周期不得超过48小时。</w:t>
      </w:r>
      <w:r>
        <w:rPr>
          <w:rFonts w:hint="eastAsia" w:hAnsi="宋体"/>
          <w:b w:val="0"/>
          <w:bCs/>
          <w:color w:val="000000"/>
          <w:sz w:val="24"/>
          <w:szCs w:val="24"/>
          <w:highlight w:val="none"/>
          <w:lang w:eastAsia="zh-CN"/>
        </w:rPr>
      </w:r>
      <w:r/>
    </w:p>
    <w:p>
      <w:pPr>
        <w:pStyle w:val="1265"/>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val="en-US" w:eastAsia="zh-CN"/>
        </w:rPr>
        <w:t xml:space="preserve">3.5</w:t>
      </w:r>
      <w:r>
        <w:rPr>
          <w:rFonts w:hint="eastAsia" w:hAnsi="宋体"/>
          <w:b w:val="0"/>
          <w:bCs/>
          <w:color w:val="000000"/>
          <w:sz w:val="24"/>
          <w:szCs w:val="24"/>
          <w:highlight w:val="none"/>
          <w:lang w:eastAsia="zh-CN"/>
        </w:rPr>
        <w:t xml:space="preserve">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hAnsi="宋体"/>
          <w:b w:val="0"/>
          <w:bCs/>
          <w:color w:val="000000"/>
          <w:sz w:val="24"/>
          <w:szCs w:val="24"/>
          <w:highlight w:val="none"/>
          <w:lang w:eastAsia="zh-CN"/>
        </w:rPr>
      </w:r>
      <w:r/>
    </w:p>
    <w:p>
      <w:pPr>
        <w:pStyle w:val="1265"/>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四、</w:t>
      </w:r>
      <w:r>
        <w:rPr>
          <w:rFonts w:hAnsi="宋体"/>
          <w:b/>
          <w:color w:val="000000"/>
          <w:sz w:val="24"/>
          <w:szCs w:val="24"/>
          <w:highlight w:val="none"/>
        </w:rPr>
        <w:t xml:space="preserve">技术资料</w:t>
      </w:r>
      <w:r>
        <w:rPr>
          <w:rFonts w:hAnsi="宋体"/>
          <w:b/>
          <w:color w:val="000000"/>
          <w:sz w:val="24"/>
          <w:szCs w:val="24"/>
          <w:highlight w:val="none"/>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4.1乙方应按招标文件规定的时间向甲方提供与合同标的有关的技术资料，包括但不限于提供货物时必须提供设备的合格证、检测报告、原材料出厂证明以及使用及维修所需的全部技术资料。</w:t>
      </w:r>
      <w:r>
        <w:rPr>
          <w:rFonts w:hint="eastAsia" w:ascii="宋体" w:hAnsi="宋体" w:eastAsia="宋体" w:cs="Courier New"/>
          <w:sz w:val="24"/>
          <w:szCs w:val="24"/>
          <w:highlight w:val="none"/>
          <w:lang w:eastAsia="zh-CN"/>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sz w:val="24"/>
          <w:szCs w:val="24"/>
          <w:highlight w:val="none"/>
          <w:lang w:eastAsia="zh-CN"/>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eastAsia="宋体" w:cs="Courier New"/>
          <w:sz w:val="24"/>
          <w:szCs w:val="24"/>
          <w:highlight w:val="none"/>
          <w:lang w:eastAsia="zh-CN"/>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4.4甲方对设备规格型号有异议的应在收货后3日内以书面形式向供方提出，未提出视为认同。</w:t>
      </w:r>
      <w:r>
        <w:rPr>
          <w:rFonts w:hint="eastAsia" w:ascii="宋体" w:hAnsi="宋体" w:eastAsia="宋体" w:cs="Courier New"/>
          <w:sz w:val="24"/>
          <w:szCs w:val="24"/>
          <w:highlight w:val="none"/>
          <w:lang w:eastAsia="zh-CN"/>
        </w:rPr>
      </w:r>
      <w:r/>
    </w:p>
    <w:p>
      <w:pPr>
        <w:pStyle w:val="1265"/>
        <w:ind w:left="410" w:hanging="410"/>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五</w:t>
      </w:r>
      <w:r>
        <w:rPr>
          <w:rFonts w:hAnsi="宋体"/>
          <w:b/>
          <w:color w:val="000000"/>
          <w:sz w:val="24"/>
          <w:szCs w:val="24"/>
          <w:highlight w:val="none"/>
        </w:rPr>
        <w:t xml:space="preserve">、知识产权</w:t>
      </w:r>
      <w:r>
        <w:rPr>
          <w:rFonts w:hint="eastAsia" w:hAnsi="宋体"/>
          <w:b/>
          <w:color w:val="000000"/>
          <w:sz w:val="24"/>
          <w:szCs w:val="24"/>
          <w:highlight w:val="none"/>
          <w:lang w:eastAsia="zh-CN"/>
        </w:rPr>
        <w:t xml:space="preserve">、</w:t>
      </w:r>
      <w:r>
        <w:rPr>
          <w:rFonts w:hAnsi="宋体"/>
          <w:b/>
          <w:color w:val="000000"/>
          <w:sz w:val="24"/>
          <w:szCs w:val="24"/>
          <w:highlight w:val="none"/>
        </w:rPr>
        <w:t xml:space="preserve">产权担保</w:t>
      </w:r>
      <w:r>
        <w:rPr>
          <w:rFonts w:hAnsi="宋体"/>
          <w:b/>
          <w:color w:val="000000"/>
          <w:sz w:val="24"/>
          <w:szCs w:val="24"/>
          <w:highlight w:val="none"/>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sz w:val="24"/>
          <w:szCs w:val="24"/>
          <w:highlight w:val="none"/>
          <w:lang w:eastAsia="zh-CN"/>
        </w:rPr>
      </w:r>
      <w:r/>
    </w:p>
    <w:p>
      <w:pPr>
        <w:pStyle w:val="122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5.2 乙方保证所交付的合同标的的所有权完全属于乙方且无任何抵押、查封等产权瑕疵。</w:t>
      </w:r>
      <w:r>
        <w:rPr>
          <w:rFonts w:hint="eastAsia" w:ascii="宋体" w:hAnsi="宋体" w:eastAsia="宋体" w:cs="Courier New"/>
          <w:sz w:val="24"/>
          <w:szCs w:val="24"/>
          <w:highlight w:val="none"/>
          <w:lang w:eastAsia="zh-CN"/>
        </w:rPr>
      </w:r>
      <w:r/>
    </w:p>
    <w:p>
      <w:pPr>
        <w:pStyle w:val="1265"/>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122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highlight w:val="none"/>
        </w:rPr>
      </w:r>
      <w:r/>
    </w:p>
    <w:p>
      <w:pPr>
        <w:pStyle w:val="122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7.2乙方应当按照响应文件中提供的分包意向协议履行合同。</w:t>
      </w:r>
      <w:r>
        <w:rPr>
          <w:rFonts w:hint="eastAsia" w:ascii="宋体" w:hAnsi="宋体"/>
          <w:color w:val="000000"/>
          <w:sz w:val="24"/>
          <w:szCs w:val="24"/>
          <w:highlight w:val="none"/>
        </w:rPr>
      </w:r>
      <w:r/>
    </w:p>
    <w:p>
      <w:pPr>
        <w:pStyle w:val="1225"/>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65"/>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225"/>
        <w:ind w:left="479"/>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8.1合同款项的支付方式及进度安排</w:t>
      </w:r>
      <w:r>
        <w:rPr>
          <w:rFonts w:hint="eastAsia" w:ascii="宋体" w:hAnsi="宋体" w:cs="Courier New"/>
          <w:bCs/>
          <w:color w:val="000000"/>
          <w:sz w:val="24"/>
          <w:szCs w:val="24"/>
          <w:highlight w:val="none"/>
        </w:rPr>
      </w:r>
      <w:r/>
    </w:p>
    <w:p>
      <w:pPr>
        <w:pStyle w:val="1225"/>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8.2预付款支付：乙方</w:t>
      </w:r>
      <w:r>
        <w:rPr>
          <w:rFonts w:hint="eastAsia" w:ascii="宋体" w:hAnsi="宋体" w:cs="Courier New"/>
          <w:bCs/>
          <w:color w:val="000000"/>
          <w:sz w:val="24"/>
          <w:szCs w:val="24"/>
          <w:highlight w:val="none"/>
          <w:lang w:eastAsia="zh-CN"/>
        </w:rPr>
        <w:t xml:space="preserve">（</w:t>
      </w:r>
      <w:r>
        <w:rPr>
          <w:rFonts w:hint="eastAsia" w:ascii="宋体" w:hAnsi="宋体" w:cs="Courier New"/>
          <w:bCs/>
          <w:color w:val="000000"/>
          <w:sz w:val="24"/>
          <w:szCs w:val="24"/>
          <w:highlight w:val="none"/>
          <w:lang w:eastAsia="zh-CN"/>
        </w:rPr>
        <w:t xml:space="preserve">需要</w:t>
      </w:r>
      <w:r>
        <w:rPr>
          <w:rFonts w:hint="eastAsia" w:ascii="宋体" w:hAnsi="宋体" w:cs="Courier New"/>
          <w:bCs/>
          <w:color w:val="000000"/>
          <w:sz w:val="24"/>
          <w:szCs w:val="24"/>
          <w:highlight w:val="none"/>
          <w:lang w:val="en-US" w:eastAsia="zh-CN"/>
        </w:rPr>
        <w:t xml:space="preserve">/</w:t>
      </w:r>
      <w:r>
        <w:rPr>
          <w:rFonts w:hint="eastAsia" w:ascii="宋体" w:hAnsi="宋体" w:cs="Courier New"/>
          <w:bCs/>
          <w:color w:val="000000"/>
          <w:sz w:val="24"/>
          <w:szCs w:val="24"/>
          <w:highlight w:val="none"/>
          <w:lang w:eastAsia="zh-CN"/>
        </w:rPr>
        <w:t xml:space="preserve">不需要）</w:t>
      </w:r>
      <w:r>
        <w:rPr>
          <w:rFonts w:hint="eastAsia" w:ascii="宋体" w:hAnsi="宋体" w:cs="Courier New"/>
          <w:bCs/>
          <w:color w:val="000000"/>
          <w:sz w:val="24"/>
          <w:szCs w:val="24"/>
          <w:highlight w:val="none"/>
        </w:rPr>
        <w:t xml:space="preserve">甲方支付预付款。</w:t>
      </w:r>
      <w:r>
        <w:rPr>
          <w:rFonts w:hint="eastAsia" w:ascii="宋体" w:hAnsi="宋体" w:cs="Courier New"/>
          <w:bCs/>
          <w:color w:val="000000"/>
          <w:sz w:val="24"/>
          <w:szCs w:val="24"/>
          <w:highlight w:val="none"/>
        </w:rPr>
      </w:r>
      <w:r/>
    </w:p>
    <w:p>
      <w:pPr>
        <w:pStyle w:val="1225"/>
        <w:ind w:firstLine="482"/>
        <w:jc w:val="left"/>
        <w:spacing w:before="120" w:after="120" w:line="440" w:lineRule="exact"/>
        <w:rPr>
          <w:rFonts w:hint="eastAsia" w:ascii="宋体" w:hAnsi="宋体" w:cs="Courier New"/>
          <w:b/>
          <w:bCs w:val="0"/>
          <w:color w:val="000000"/>
          <w:sz w:val="24"/>
          <w:szCs w:val="24"/>
          <w:highlight w:val="none"/>
          <w:lang w:eastAsia="zh-CN"/>
        </w:rPr>
      </w:pPr>
      <w:r>
        <w:rPr>
          <w:rFonts w:hint="eastAsia" w:ascii="宋体" w:hAnsi="宋体" w:cs="Courier New"/>
          <w:b/>
          <w:bCs w:val="0"/>
          <w:color w:val="000000"/>
          <w:sz w:val="24"/>
          <w:szCs w:val="24"/>
          <w:highlight w:val="none"/>
          <w:lang w:eastAsia="zh-CN"/>
        </w:rPr>
        <w:t xml:space="preserve">需要甲方支付预付款：</w:t>
      </w:r>
      <w:r>
        <w:rPr>
          <w:rFonts w:hint="eastAsia" w:ascii="宋体" w:hAnsi="宋体" w:cs="Courier New"/>
          <w:b/>
          <w:bCs w:val="0"/>
          <w:color w:val="000000"/>
          <w:sz w:val="24"/>
          <w:szCs w:val="24"/>
          <w:highlight w:val="none"/>
          <w:lang w:val="en-US" w:eastAsia="zh-CN"/>
        </w:rPr>
        <w:t xml:space="preserve">甲方自收到乙方发票之日起10个工作日内，付至合同价的30%（预付款金额为       元），设备通过甲方初步验收且数据获得上级部门认可后付至已供货设备总价的70%；通过终验后甲方支付合同余款。</w:t>
      </w:r>
      <w:r>
        <w:rPr>
          <w:rFonts w:hint="eastAsia" w:ascii="宋体" w:hAnsi="宋体" w:cs="Courier New"/>
          <w:b/>
          <w:bCs w:val="0"/>
          <w:color w:val="000000"/>
          <w:sz w:val="24"/>
          <w:szCs w:val="24"/>
          <w:highlight w:val="none"/>
          <w:lang w:eastAsia="zh-CN"/>
        </w:rPr>
      </w:r>
      <w:r/>
    </w:p>
    <w:p>
      <w:pPr>
        <w:pStyle w:val="1225"/>
        <w:ind w:firstLine="482"/>
        <w:jc w:val="left"/>
        <w:spacing w:before="120" w:after="120" w:line="440" w:lineRule="exact"/>
        <w:rPr>
          <w:rFonts w:hint="eastAsia" w:ascii="宋体" w:hAnsi="宋体" w:eastAsia="宋体" w:cs="Courier New"/>
          <w:b/>
          <w:bCs w:val="0"/>
          <w:color w:val="000000"/>
          <w:sz w:val="24"/>
          <w:szCs w:val="24"/>
          <w:highlight w:val="none"/>
          <w:lang w:val="zh-TW" w:eastAsia="zh-CN"/>
        </w:rPr>
      </w:pPr>
      <w:r>
        <w:rPr>
          <w:rFonts w:hint="eastAsia" w:ascii="宋体" w:hAnsi="宋体" w:cs="Courier New"/>
          <w:b/>
          <w:bCs w:val="0"/>
          <w:color w:val="000000"/>
          <w:sz w:val="24"/>
          <w:szCs w:val="24"/>
          <w:highlight w:val="none"/>
          <w:lang w:eastAsia="zh-CN"/>
        </w:rPr>
        <w:t xml:space="preserve">不需要甲方支付预付款：设备通过甲方初步验收且数据获得上级部门认可后付至已供货设备总价的</w:t>
      </w:r>
      <w:r>
        <w:rPr>
          <w:rFonts w:hint="eastAsia" w:ascii="宋体" w:hAnsi="宋体" w:cs="Courier New"/>
          <w:b/>
          <w:bCs w:val="0"/>
          <w:color w:val="000000"/>
          <w:sz w:val="24"/>
          <w:szCs w:val="24"/>
          <w:highlight w:val="none"/>
          <w:lang w:val="en-US" w:eastAsia="zh-CN"/>
        </w:rPr>
        <w:t xml:space="preserve">70%</w:t>
      </w:r>
      <w:r>
        <w:rPr>
          <w:rFonts w:hint="eastAsia" w:ascii="宋体" w:hAnsi="宋体" w:cs="Courier New"/>
          <w:b/>
          <w:bCs w:val="0"/>
          <w:color w:val="000000"/>
          <w:sz w:val="24"/>
          <w:szCs w:val="24"/>
          <w:highlight w:val="none"/>
          <w:lang w:val="zh-TW" w:eastAsia="zh-CN"/>
        </w:rPr>
        <w:t xml:space="preserve">；通过终验后甲方支付合同余款。</w:t>
      </w:r>
      <w:r>
        <w:rPr>
          <w:rFonts w:hint="eastAsia" w:ascii="宋体" w:hAnsi="宋体" w:eastAsia="宋体" w:cs="Courier New"/>
          <w:b/>
          <w:bCs w:val="0"/>
          <w:color w:val="000000"/>
          <w:sz w:val="24"/>
          <w:szCs w:val="24"/>
          <w:highlight w:val="none"/>
          <w:lang w:val="zh-TW" w:eastAsia="zh-CN"/>
        </w:rPr>
      </w:r>
      <w:r/>
    </w:p>
    <w:p>
      <w:pPr>
        <w:pStyle w:val="1225"/>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ascii="宋体" w:hAnsi="宋体"/>
          <w:color w:val="000000"/>
          <w:sz w:val="24"/>
          <w:szCs w:val="24"/>
          <w:highlight w:val="none"/>
        </w:rPr>
        <w:t xml:space="preserve">乙方应当自合同签订之日起按约定开具发票，甲方自收到发票之日起10个工作日内完成支付。因乙方未开具发票导致甲方未及时完成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2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2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22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65"/>
        <w:spacing w:line="440" w:lineRule="exact"/>
        <w:rPr>
          <w:rFonts w:hAnsi="宋体"/>
          <w:b/>
          <w:color w:val="000000"/>
          <w:sz w:val="24"/>
          <w:szCs w:val="24"/>
          <w:highlight w:val="none"/>
        </w:rPr>
      </w:pPr>
      <w:r>
        <w:rPr>
          <w:rFonts w:hint="eastAsia" w:hAnsi="宋体"/>
          <w:b/>
          <w:color w:val="000000"/>
          <w:sz w:val="24"/>
          <w:szCs w:val="24"/>
          <w:highlight w:val="none"/>
        </w:rPr>
        <w:t xml:space="preserve">十、货物的包装、发运及运输</w:t>
      </w:r>
      <w:r>
        <w:rPr>
          <w:rFonts w:hAnsi="宋体"/>
          <w:b/>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10.2 使用说明书、质量检验证明书、随配附件和工具以及清单一并附于货物内。</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10.3 乙方在货物发运手续办理完毕后24小时内或货到甲方48小时前通知甲方，以准备接货。</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10.4 货物在交付甲方前发生的风险均由乙方负责。</w:t>
      </w:r>
      <w:r>
        <w:rPr>
          <w:rFonts w:hint="eastAsia" w:ascii="宋体" w:hAnsi="宋体" w:eastAsia="宋体" w:cs="Times New Roman"/>
          <w:color w:val="000000"/>
          <w:sz w:val="24"/>
          <w:szCs w:val="24"/>
          <w:highlight w:val="none"/>
        </w:rPr>
      </w:r>
      <w:r/>
    </w:p>
    <w:p>
      <w:pPr>
        <w:pStyle w:val="122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10.5 货物在规定的交付期限内由乙方送达甲方指定的地点视为交付，乙方同时需通知甲方货物已送达。</w:t>
      </w:r>
      <w:r>
        <w:rPr>
          <w:rFonts w:hint="eastAsia" w:ascii="宋体" w:hAnsi="宋体" w:eastAsia="宋体" w:cs="Times New Roman"/>
          <w:color w:val="000000"/>
          <w:sz w:val="24"/>
          <w:szCs w:val="24"/>
          <w:highlight w:val="none"/>
        </w:rPr>
      </w:r>
      <w:r/>
    </w:p>
    <w:p>
      <w:pPr>
        <w:pStyle w:val="1265"/>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一</w:t>
      </w:r>
      <w:r>
        <w:rPr>
          <w:rFonts w:hAnsi="宋体"/>
          <w:b/>
          <w:color w:val="000000"/>
          <w:sz w:val="24"/>
          <w:szCs w:val="24"/>
          <w:highlight w:val="none"/>
        </w:rPr>
        <w:t xml:space="preserve">、</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 甲方依法组织履约验收工作。</w:t>
      </w:r>
      <w:r>
        <w:rPr>
          <w:rFonts w:hint="eastAsia" w:ascii="宋体" w:hAnsi="宋体" w:eastAsia="宋体" w:cs="Times New Roman"/>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对于实际使用人和甲方分离的项目，甲方邀请实际使用人参与验收。</w:t>
      </w:r>
      <w:r>
        <w:rPr>
          <w:rFonts w:hint="eastAsia" w:ascii="宋体" w:hAnsi="宋体" w:eastAsia="宋体" w:cs="Times New Roman"/>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126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11.6 验收合格的项目,甲方根据采购合同的约定及时向乙方支付合同款项、退还履约保证金。验收不合格的项目，甲方依法及时处理</w:t>
      </w:r>
      <w:r>
        <w:rPr>
          <w:rFonts w:hint="eastAsia" w:ascii="宋体" w:hAnsi="宋体" w:eastAsia="宋体" w:cs="Times New Roman"/>
          <w:color w:val="000000"/>
          <w:sz w:val="24"/>
          <w:szCs w:val="24"/>
          <w:highlight w:val="none"/>
          <w:lang w:eastAsia="zh-CN"/>
        </w:rPr>
        <w:t xml:space="preserve">，乙方须无条件更换设备直至验收合格，期间，给甲方造成的损失，由乙方全部承担</w:t>
      </w:r>
      <w:r>
        <w:rPr>
          <w:rFonts w:hint="eastAsia" w:ascii="宋体" w:hAnsi="宋体" w:eastAsia="宋体" w:cs="Times New Roman"/>
          <w:color w:val="000000"/>
          <w:sz w:val="24"/>
          <w:szCs w:val="24"/>
          <w:highlight w:val="none"/>
        </w:rPr>
        <w:t xml:space="preserve">。采购合同的履行、违约责任和解决争议的方式等适用《民法典》。乙方在履约过程中有政府采购法律法规规定的违法违规情形的,甲方将及时报告本级财政部门。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1265"/>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265"/>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265"/>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 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1265"/>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 乙方交付合同标的的标准不符合合同规定及磋商文件规定标准的，甲方有权拒绝接受合同标的，并可单方面解除合同。</w:t>
      </w:r>
      <w:r>
        <w:rPr>
          <w:rFonts w:hint="eastAsia" w:hAnsi="宋体"/>
          <w:bCs/>
          <w:color w:val="000000"/>
          <w:sz w:val="24"/>
          <w:szCs w:val="24"/>
          <w:highlight w:val="none"/>
        </w:rPr>
      </w:r>
      <w:r/>
    </w:p>
    <w:p>
      <w:pPr>
        <w:pStyle w:val="1265"/>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65"/>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1265"/>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.2 不可抗力事件发生后，应立即通知对方，并寄送有关权威机构出具的</w:t>
      </w:r>
      <w:r>
        <w:rPr>
          <w:rFonts w:hAnsi="宋体"/>
          <w:color w:val="000000"/>
          <w:sz w:val="24"/>
          <w:szCs w:val="24"/>
          <w:highlight w:val="none"/>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证明。</w:t>
      </w:r>
      <w:r>
        <w:rPr>
          <w:rFonts w:hAnsi="宋体"/>
          <w:color w:val="000000"/>
          <w:sz w:val="24"/>
          <w:szCs w:val="24"/>
          <w:highlight w:val="none"/>
        </w:rPr>
      </w:r>
      <w:r/>
    </w:p>
    <w:p>
      <w:pPr>
        <w:pStyle w:val="1265"/>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.3 不可抗力事件延续120天以上，双方应通过友好协商，确定是否继续</w:t>
      </w:r>
      <w:r>
        <w:rPr>
          <w:rFonts w:hAnsi="宋体"/>
          <w:color w:val="000000"/>
          <w:sz w:val="24"/>
          <w:szCs w:val="24"/>
          <w:highlight w:val="none"/>
        </w:rPr>
      </w:r>
      <w:r/>
    </w:p>
    <w:p>
      <w:pPr>
        <w:pStyle w:val="1265"/>
        <w:spacing w:line="440" w:lineRule="exact"/>
        <w:rPr>
          <w:rFonts w:hAnsi="宋体"/>
          <w:color w:val="000000"/>
          <w:sz w:val="24"/>
          <w:szCs w:val="24"/>
          <w:highlight w:val="none"/>
        </w:rPr>
      </w:pPr>
      <w:r>
        <w:rPr>
          <w:rFonts w:hAnsi="宋体"/>
          <w:color w:val="000000"/>
          <w:sz w:val="24"/>
          <w:szCs w:val="24"/>
          <w:highlight w:val="none"/>
        </w:rPr>
        <w:t xml:space="preserve">履行合同。</w:t>
      </w:r>
      <w:r>
        <w:rPr>
          <w:rFonts w:hAnsi="宋体"/>
          <w:color w:val="000000"/>
          <w:sz w:val="24"/>
          <w:szCs w:val="24"/>
          <w:highlight w:val="none"/>
        </w:rPr>
      </w:r>
      <w:r/>
    </w:p>
    <w:p>
      <w:pPr>
        <w:pStyle w:val="1265"/>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65"/>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14.1双方在签订、履行合同中所发生的一切争议，应通过友好协商解决。</w:t>
      </w:r>
      <w:r>
        <w:rPr>
          <w:rFonts w:hint="eastAsia" w:hAnsi="宋体"/>
          <w:color w:val="000000"/>
          <w:sz w:val="24"/>
          <w:szCs w:val="24"/>
          <w:highlight w:val="none"/>
        </w:rPr>
      </w:r>
      <w:r/>
    </w:p>
    <w:p>
      <w:pPr>
        <w:pStyle w:val="1265"/>
        <w:spacing w:line="440" w:lineRule="exac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rPr>
          <w:rFonts w:hint="eastAsia" w:hAnsi="宋体"/>
          <w:color w:val="000000"/>
          <w:sz w:val="24"/>
          <w:szCs w:val="24"/>
          <w:highlight w:val="none"/>
        </w:rPr>
      </w:r>
      <w:r/>
    </w:p>
    <w:p>
      <w:pPr>
        <w:pStyle w:val="1265"/>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65"/>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15.1由于非乙方的原因导致合同期延长，甲、乙双方应按约定签定补充协</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int="eastAsia" w:hAnsi="宋体"/>
          <w:color w:val="000000"/>
          <w:sz w:val="24"/>
          <w:szCs w:val="24"/>
          <w:highlight w:val="none"/>
        </w:rPr>
        <w:t xml:space="preserve">议。</w:t>
      </w:r>
      <w:r>
        <w:rPr>
          <w:rFonts w:hAnsi="宋体"/>
          <w:color w:val="000000"/>
          <w:sz w:val="24"/>
          <w:szCs w:val="24"/>
          <w:highlight w:val="none"/>
        </w:rPr>
      </w:r>
      <w:r/>
    </w:p>
    <w:p>
      <w:pPr>
        <w:pStyle w:val="1265"/>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15.2若实际成交量或合同期因故发生重大变化，双方均可提出合同变更请</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265"/>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15.3甲方招标文件、乙方投标文件、会议记录均为本合同的组成部分，具</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265"/>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265"/>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15.5本合同一式陆份，甲方、乙方各执2份、政府代理机构、政府监督管</w:t>
      </w:r>
      <w:r>
        <w:rPr>
          <w:rFonts w:hint="eastAsia" w:hAnsi="宋体"/>
          <w:color w:val="000000"/>
          <w:sz w:val="24"/>
          <w:szCs w:val="24"/>
          <w:highlight w:val="none"/>
        </w:rPr>
      </w:r>
      <w:r/>
    </w:p>
    <w:p>
      <w:pPr>
        <w:pStyle w:val="1265"/>
        <w:spacing w:line="440" w:lineRule="exact"/>
        <w:rPr>
          <w:rFonts w:hAnsi="宋体"/>
          <w:color w:val="000000"/>
          <w:sz w:val="24"/>
          <w:szCs w:val="24"/>
          <w:highlight w:val="none"/>
        </w:rPr>
      </w:pPr>
      <w:r>
        <w:rPr>
          <w:rFonts w:hint="eastAsia" w:hAnsi="宋体"/>
          <w:color w:val="000000"/>
          <w:sz w:val="24"/>
          <w:szCs w:val="24"/>
          <w:highlight w:val="none"/>
        </w:rPr>
        <w:t xml:space="preserve">理部门各执1份。</w:t>
      </w:r>
      <w:r>
        <w:rPr>
          <w:rFonts w:hAnsi="宋体"/>
          <w:color w:val="000000"/>
          <w:sz w:val="24"/>
          <w:szCs w:val="24"/>
          <w:highlight w:val="none"/>
        </w:rPr>
      </w:r>
      <w:r/>
    </w:p>
    <w:p>
      <w:pPr>
        <w:pStyle w:val="122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22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22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22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签约日期： 年 月 日</w:t>
      </w:r>
      <w:r>
        <w:rPr>
          <w:rFonts w:ascii="宋体" w:hAnsi="宋体" w:cs="Courier New"/>
          <w:color w:val="000000"/>
          <w:sz w:val="24"/>
          <w:szCs w:val="24"/>
          <w:highlight w:val="none"/>
        </w:rPr>
      </w:r>
      <w:r/>
    </w:p>
    <w:p>
      <w:pPr>
        <w:pStyle w:val="1225"/>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22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rPr>
          <w:rFonts w:ascii="宋体" w:hAnsi="宋体" w:cs="Courier New"/>
          <w:color w:val="000000"/>
          <w:sz w:val="24"/>
          <w:szCs w:val="24"/>
          <w:highlight w:val="none"/>
        </w:rPr>
      </w:r>
      <w:r/>
    </w:p>
    <w:p>
      <w:pPr>
        <w:pStyle w:val="122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122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122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w:t>
      </w:r>
      <w:r>
        <w:rPr>
          <w:rFonts w:ascii="宋体" w:hAnsi="宋体" w:cs="Courier New"/>
          <w:color w:val="000000"/>
          <w:sz w:val="24"/>
          <w:szCs w:val="24"/>
          <w:highlight w:val="none"/>
        </w:rPr>
      </w:r>
      <w:r/>
    </w:p>
    <w:p>
      <w:pPr>
        <w:pStyle w:val="1225"/>
        <w:rPr>
          <w:color w:val="000000"/>
          <w:highlight w:val="none"/>
        </w:rPr>
      </w:pPr>
      <w:r>
        <w:rPr>
          <w:color w:val="000000"/>
          <w:highlight w:val="none"/>
        </w:rPr>
      </w:r>
      <w:r/>
    </w:p>
    <w:p>
      <w:pPr>
        <w:pStyle w:val="122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2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2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2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2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65"/>
        <w:jc w:val="center"/>
        <w:spacing w:before="120" w:after="120" w:line="440" w:lineRule="exact"/>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1265"/>
        <w:jc w:val="center"/>
        <w:spacing w:before="120" w:after="120" w:line="440" w:lineRule="exact"/>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1265"/>
        <w:jc w:val="center"/>
        <w:spacing w:before="120" w:after="120" w:line="440" w:lineRule="exact"/>
        <w:rPr>
          <w:rFonts w:hint="eastAsia" w:hAnsi="宋体"/>
          <w:color w:val="000000"/>
          <w:sz w:val="24"/>
          <w:szCs w:val="24"/>
          <w:highlight w:val="none"/>
        </w:rPr>
      </w:pPr>
      <w:r>
        <w:rPr>
          <w:rFonts w:hint="eastAsia" w:ascii="黑体" w:eastAsia="黑体"/>
          <w:bCs/>
          <w:color w:val="000000"/>
          <w:sz w:val="32"/>
          <w:szCs w:val="32"/>
          <w:highlight w:val="none"/>
        </w:rPr>
        <w:t xml:space="preserve">第</w:t>
      </w:r>
      <w:r>
        <w:rPr>
          <w:rFonts w:hint="eastAsia" w:ascii="黑体" w:eastAsia="黑体"/>
          <w:bCs/>
          <w:color w:val="000000"/>
          <w:sz w:val="32"/>
          <w:szCs w:val="32"/>
          <w:highlight w:val="none"/>
        </w:rPr>
        <w:t xml:space="preserve">四章 招标需求</w:t>
      </w:r>
      <w:r>
        <w:rPr>
          <w:rFonts w:hint="eastAsia" w:hAnsi="宋体"/>
          <w:color w:val="000000"/>
          <w:sz w:val="24"/>
          <w:szCs w:val="24"/>
          <w:highlight w:val="none"/>
        </w:rPr>
      </w:r>
      <w:r/>
    </w:p>
    <w:p>
      <w:pPr>
        <w:pStyle w:val="1225"/>
        <w:spacing w:line="360" w:lineRule="auto"/>
        <w:rPr>
          <w:rFonts w:hint="eastAsia" w:ascii="宋体" w:hAnsi="宋体" w:cs="宋体"/>
          <w:color w:val="000000"/>
          <w:sz w:val="24"/>
          <w:szCs w:val="24"/>
          <w:highlight w:val="none"/>
        </w:rPr>
      </w:pPr>
      <w:r/>
      <w:bookmarkStart w:id="197" w:name="_Toc49090575"/>
      <w:r/>
      <w:bookmarkStart w:id="198" w:name="_Toc26554093"/>
      <w:r>
        <w:rPr>
          <w:rFonts w:hint="eastAsia" w:ascii="宋体" w:hAnsi="宋体" w:cs="宋体"/>
          <w:color w:val="000000"/>
          <w:sz w:val="24"/>
          <w:szCs w:val="24"/>
          <w:highlight w:val="none"/>
        </w:rPr>
        <w:t xml:space="preserve">项目属性:货物类项目。</w:t>
      </w:r>
      <w:bookmarkStart w:id="199" w:name="_Toc120614281"/>
      <w:r>
        <w:rPr>
          <w:rFonts w:hint="eastAsia" w:ascii="宋体" w:hAnsi="宋体" w:cs="宋体"/>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bookmarkStart w:id="200" w:name="_Toc29535"/>
      <w:r>
        <w:rPr>
          <w:rFonts w:hint="eastAsia" w:ascii="宋体" w:hAnsi="宋体" w:cs="宋体"/>
          <w:b w:val="0"/>
          <w:bCs/>
          <w:color w:val="000000"/>
          <w:sz w:val="24"/>
          <w:szCs w:val="24"/>
          <w:highlight w:val="none"/>
        </w:rPr>
        <w:t xml:space="preserve">一、项目要求</w:t>
      </w:r>
      <w:r>
        <w:rPr>
          <w:rFonts w:hint="eastAsia" w:ascii="宋体" w:hAnsi="宋体" w:cs="宋体"/>
          <w:b w:val="0"/>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根据工作需要，现对扬中监测站、扬中第一中学两处省控空气自动监测站点进行设备更新，主要包括（但不限于）SO2</w:t>
      </w:r>
      <w:bookmarkStart w:id="201" w:name="OLE_LINK1"/>
      <w:r/>
      <w:bookmarkStart w:id="202" w:name="OLE_LINK2"/>
      <w:r>
        <w:rPr>
          <w:rFonts w:hint="eastAsia" w:ascii="宋体" w:hAnsi="宋体" w:cs="宋体"/>
          <w:b w:val="0"/>
          <w:bCs/>
          <w:color w:val="000000"/>
          <w:sz w:val="24"/>
          <w:szCs w:val="24"/>
          <w:highlight w:val="none"/>
        </w:rPr>
        <w:t xml:space="preserve">分析</w:t>
      </w:r>
      <w:bookmarkEnd w:id="201"/>
      <w:r/>
      <w:bookmarkEnd w:id="202"/>
      <w:r>
        <w:rPr>
          <w:rFonts w:hint="eastAsia" w:ascii="宋体" w:hAnsi="宋体" w:cs="宋体"/>
          <w:b w:val="0"/>
          <w:bCs/>
          <w:color w:val="000000"/>
          <w:sz w:val="24"/>
          <w:szCs w:val="24"/>
          <w:highlight w:val="none"/>
        </w:rPr>
        <w:t xml:space="preserve">仪、NO-NO2-NOx分析仪、O3分析仪、CO分析、PM10分析仪、PM2.5分析仪等设备采购。</w:t>
      </w:r>
      <w:r>
        <w:rPr>
          <w:rFonts w:hint="eastAsia" w:ascii="宋体" w:hAnsi="宋体" w:cs="宋体"/>
          <w:b w:val="0"/>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二、采购清单</w:t>
      </w:r>
      <w:r>
        <w:rPr>
          <w:rFonts w:hint="eastAsia" w:ascii="宋体" w:hAnsi="宋体" w:cs="宋体"/>
          <w:b w:val="0"/>
          <w:bCs/>
          <w:color w:val="000000"/>
          <w:sz w:val="24"/>
          <w:szCs w:val="24"/>
          <w:highlight w:val="none"/>
        </w:rPr>
      </w:r>
      <w:r/>
    </w:p>
    <w:tbl>
      <w:tblPr>
        <w:tblW w:w="11032" w:type="dxa"/>
        <w:tblInd w:w="-113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09"/>
        <w:gridCol w:w="2291"/>
        <w:gridCol w:w="1173"/>
        <w:gridCol w:w="3259"/>
        <w:gridCol w:w="1445"/>
        <w:gridCol w:w="1555"/>
      </w:tblGrid>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序号</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名称</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数量（套）</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备注</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eastAsia="zh-CN"/>
              </w:rPr>
              <w:t xml:space="preserve">是否为核心产品</w:t>
            </w:r>
            <w:r>
              <w:rPr>
                <w:rFonts w:hint="eastAsia" w:ascii="宋体" w:hAnsi="宋体" w:eastAsia="宋体" w:cs="宋体"/>
                <w:b w:val="0"/>
                <w:bCs/>
                <w:color w:val="000000"/>
                <w:sz w:val="24"/>
                <w:szCs w:val="24"/>
                <w:highlight w:val="none"/>
                <w:lang w:eastAsia="zh-CN"/>
              </w:rPr>
            </w:r>
            <w:r/>
          </w:p>
        </w:tc>
        <w:tc>
          <w:tcPr>
            <w:tcW w:w="1555" w:type="dxa"/>
            <w:vAlign w:val="bottom"/>
            <w:vMerge w:val="restart"/>
            <w:textDirection w:val="lrTb"/>
            <w:noWrap/>
          </w:tcPr>
          <w:p>
            <w:pPr>
              <w:pStyle w:val="1304"/>
              <w:jc w:val="both"/>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最终实际供货数量以招标人需要为准</w:t>
            </w: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SO2分析仪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采样组件、原厂校准</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39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NO-NO2-NOx分析仪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钼炉转换装置、采样组件</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O3分析仪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紫外光度计、采样组件</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bCs w:val="0"/>
                <w:color w:val="000000"/>
                <w:sz w:val="24"/>
                <w:szCs w:val="24"/>
                <w:highlight w:val="none"/>
                <w:lang w:val="en-US" w:eastAsia="zh-CN"/>
              </w:rPr>
              <w:t xml:space="preserve">核心产品</w:t>
            </w: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618"/>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4</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CO分析仪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红外检测器、采样组件</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PM2.5分析仪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切割器、采样组件、原厂安装调试，单台可同时输出监测数据</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bCs w:val="0"/>
                <w:color w:val="000000"/>
                <w:sz w:val="24"/>
                <w:szCs w:val="24"/>
                <w:highlight w:val="none"/>
                <w:lang w:val="en-US" w:eastAsia="zh-CN"/>
              </w:rPr>
              <w:t xml:space="preserve">核心产品</w:t>
            </w: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6</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PM10分析仪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切割器、采样组件、原厂安装调试，单台可同时输出监测数据</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7</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动态校准仪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紫外光度计、动态稀释系统</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零气发生器</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活性炭、分子筛、除烃装置</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9</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气象五参数</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免维护，</w:t>
            </w: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风速、风向、温度、湿度、气压传感器，含三脚架等辅助设施</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10</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机柜</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每套</w:t>
            </w: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3组专用机柜，适配监测仪器安装，含散热、配电系统</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11</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UPS</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在线式UPS，</w:t>
            </w: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电池组，保障仪器断电后持续运行</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6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12</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稳压电源</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交流稳压电源，适配仪器电压稳定需求</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13</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工控机及软件</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工控机、显示器、数据采集软件、数据传输模块</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采样系统</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采样总管、PM2.5/PM10切割器、采样管路、弯头、接头、保温伴热系统</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636"/>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15</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VPN设备</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工业级VPN，含防火墙、数据加密传输功能</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16</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标气（8L）</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每站</w:t>
            </w: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SO2、NOx、CO标准气体各2瓶，含配套减压阀、流量计</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876"/>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17</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颗粒物比对</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第三方参比方法比对测试、数据校准、报告编制</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120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pPr>
            <w:r>
              <w:rPr>
                <w:rFonts w:hint="eastAsia" w:ascii="宋体" w:hAnsi="宋体" w:cs="宋体"/>
                <w:b w:val="0"/>
                <w:bCs/>
                <w:color w:val="000000"/>
                <w:sz w:val="24"/>
                <w:szCs w:val="24"/>
                <w:highlight w:val="none"/>
                <w:lang w:val="en-US" w:eastAsia="zh-CN"/>
              </w:rPr>
              <w:t xml:space="preserve">18</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系统集成</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包括（但不限于）</w:t>
            </w:r>
            <w:r>
              <w:rPr>
                <w:rFonts w:hint="eastAsia" w:ascii="宋体" w:hAnsi="宋体" w:cs="宋体"/>
                <w:b w:val="0"/>
                <w:bCs/>
                <w:color w:val="000000"/>
                <w:sz w:val="24"/>
                <w:szCs w:val="24"/>
                <w:highlight w:val="none"/>
                <w:lang w:val="en-US" w:eastAsia="zh-CN"/>
              </w:rPr>
              <w:t xml:space="preserve">现场勘查、配套辅材、设备安装、采样管路敷设、气密性检查、整机联动调试、数采系统配置</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706"/>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pPr>
            <w:r>
              <w:rPr>
                <w:rFonts w:hint="eastAsia" w:ascii="宋体" w:hAnsi="宋体" w:cs="宋体"/>
                <w:b w:val="0"/>
                <w:bCs/>
                <w:color w:val="000000"/>
                <w:sz w:val="24"/>
                <w:szCs w:val="24"/>
                <w:highlight w:val="none"/>
                <w:lang w:val="en-US" w:eastAsia="zh-CN"/>
              </w:rPr>
              <w:t xml:space="preserve">19</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数据联网对接</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生态环境上级部门数据联网对接</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114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pPr>
            <w:r>
              <w:rPr>
                <w:rFonts w:hint="eastAsia" w:ascii="宋体" w:hAnsi="宋体" w:cs="宋体"/>
                <w:b w:val="0"/>
                <w:bCs/>
                <w:color w:val="000000"/>
                <w:sz w:val="24"/>
                <w:szCs w:val="24"/>
                <w:highlight w:val="none"/>
                <w:lang w:val="en-US" w:eastAsia="zh-CN"/>
              </w:rPr>
              <w:t xml:space="preserve">20</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异地试运行服务</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按照省厅文件要求，设备采买后须送至南京比对场地测试运行。包含但不限于场地租赁、技术人员服务、专用测试耗材（泵膜、滤膜、纸带、过滤器、刮片等）等。</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r>
        <w:trPr>
          <w:trHeight w:val="737"/>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pPr>
            <w:r>
              <w:rPr>
                <w:rFonts w:hint="eastAsia" w:ascii="宋体" w:hAnsi="宋体" w:cs="宋体"/>
                <w:b w:val="0"/>
                <w:bCs/>
                <w:color w:val="000000"/>
                <w:sz w:val="24"/>
                <w:szCs w:val="24"/>
                <w:highlight w:val="none"/>
                <w:lang w:val="en-US" w:eastAsia="zh-CN"/>
              </w:rPr>
              <w:t xml:space="preserve">21</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运维服务</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3259" w:type="dxa"/>
            <w:vAlign w:val="center"/>
            <w:textDirection w:val="lrTb"/>
            <w:noWrap w:val="false"/>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质保期内，需季度巡查，工程师驻场操作培训、仪器校准、故障维修、数据联调保障等。</w:t>
            </w:r>
            <w:r>
              <w:rPr>
                <w:rFonts w:hint="eastAsia" w:ascii="宋体" w:hAnsi="宋体" w:cs="宋体"/>
                <w:b w:val="0"/>
                <w:bCs/>
                <w:color w:val="000000"/>
                <w:sz w:val="24"/>
                <w:szCs w:val="24"/>
                <w:highlight w:val="none"/>
              </w:rPr>
            </w:r>
            <w:r/>
          </w:p>
        </w:tc>
        <w:tc>
          <w:tcPr>
            <w:tcW w:w="1445" w:type="dxa"/>
            <w:vAlign w:val="bottom"/>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c>
          <w:tcPr>
            <w:tcW w:w="1555" w:type="dxa"/>
            <w:vAlign w:val="bottom"/>
            <w:vMerge w:val="continue"/>
            <w:textDirection w:val="lrTb"/>
            <w:noWrap/>
          </w:tcPr>
          <w:p>
            <w:pPr>
              <w:pStyle w:val="1304"/>
              <w:ind w:firstLine="480"/>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r>
            <w:r/>
          </w:p>
        </w:tc>
      </w:tr>
    </w:tbl>
    <w:p>
      <w:pPr>
        <w:pStyle w:val="1304"/>
        <w:ind w:firstLine="482"/>
        <w:spacing w:line="360" w:lineRule="auto"/>
        <w:tabs>
          <w:tab w:val="center" w:pos="4153" w:leader="none"/>
          <w:tab w:val="right" w:pos="8306"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注：使用综合评分法的采购项目，核心产品提供相同品牌产品且通过资格审查、符合性审查的不同投标人参加同一合同项下投标的，按一家投标</w:t>
      </w:r>
      <w:r>
        <w:rPr>
          <w:rFonts w:hint="eastAsia" w:ascii="宋体" w:hAnsi="宋体" w:cs="宋体"/>
          <w:b/>
          <w:bCs w:val="0"/>
          <w:color w:val="000000"/>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b/>
          <w:bCs w:val="0"/>
          <w:color w:val="000000"/>
          <w:sz w:val="24"/>
          <w:szCs w:val="24"/>
          <w:highlight w:val="none"/>
        </w:rPr>
      </w:r>
      <w:r/>
    </w:p>
    <w:p>
      <w:pPr>
        <w:pStyle w:val="1304"/>
        <w:spacing w:line="360" w:lineRule="auto"/>
        <w:tabs>
          <w:tab w:val="center" w:pos="4153" w:leader="none"/>
          <w:tab w:val="right" w:pos="8306" w:leader="none"/>
        </w:tabs>
        <w:rPr>
          <w:rFonts w:hint="eastAsia" w:ascii="宋体" w:hAnsi="宋体" w:cs="宋体"/>
          <w:bCs/>
          <w:color w:val="000000"/>
          <w:sz w:val="24"/>
          <w:szCs w:val="24"/>
          <w:highlight w:val="none"/>
        </w:rPr>
      </w:pPr>
      <w:r/>
      <w:bookmarkEnd w:id="200"/>
      <w:r>
        <w:rPr>
          <w:rFonts w:hint="eastAsia" w:ascii="宋体" w:hAnsi="宋体" w:cs="宋体"/>
          <w:bCs/>
          <w:color w:val="000000"/>
          <w:sz w:val="24"/>
          <w:szCs w:val="24"/>
          <w:highlight w:val="none"/>
        </w:rPr>
        <w:t xml:space="preserve">三、建设依据及技术参数</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（一）建设依据</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投标人所提供的各相应产品的技术参数、所提供的安装、调试、试运行、验收等配套技术服务应符合以下文件的有关规定。</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（1）《环境空气气态污染物（SO2、NO2、O3、CO）连续自动监测系统运行和质控技术规范》（HJ 818-2018）</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（2）《环境空气气态污染物（SO2、NO2、O3、CO）连续自动监测系统安装验收技术规范》（HJ 193-2013）</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（3）《环境空气颗粒物（PM10和 PM2.5）连续自动监测系统技术要求及检测方法HJ 653—2021》</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（4）环境空气颗粒物（PM10和PM2.5）连续自动监测系统安装和验收技术规范(HJ 655-2013）</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（二）技术参数说明</w:t>
      </w:r>
      <w:r>
        <w:rPr>
          <w:rFonts w:hint="eastAsia" w:ascii="宋体" w:hAnsi="宋体" w:cs="宋体"/>
          <w:bCs/>
          <w:color w:val="000000"/>
          <w:sz w:val="24"/>
          <w:szCs w:val="24"/>
          <w:highlight w:val="none"/>
        </w:rPr>
      </w:r>
      <w:r/>
    </w:p>
    <w:p>
      <w:pPr>
        <w:pStyle w:val="1304"/>
        <w:ind w:firstLine="482"/>
        <w:keepLines w:val="0"/>
        <w:keepNext w:val="0"/>
        <w:pageBreakBefore w:val="0"/>
        <w:spacing w:line="360" w:lineRule="auto"/>
        <w:widowControl w:val="off"/>
        <w:tabs>
          <w:tab w:val="center" w:pos="4153" w:leader="none"/>
          <w:tab w:val="right" w:pos="8306"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本招标文件中带“▲”的条款为本项目重要的技术要求项，对项目实施效果存在重大影响，投标人须按要求提供相应的说明和技术文件，确保项目有效实施。</w:t>
      </w:r>
      <w:r>
        <w:rPr>
          <w:rFonts w:hint="eastAsia" w:ascii="宋体" w:hAnsi="宋体" w:cs="宋体"/>
          <w:b/>
          <w:bCs w:val="0"/>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投标人所提供产品的技术参数、所提供的安装、调试、试运行、验收等配套技术服务应符合《环境空气气态污染物（SO2、NO2、O3、CO）连续自动监测系统技术要求及检测方法》(HJ654-2013)、《环境空气气态污染物（SO2、NO2、O3、CO）连续自动监测系统安装验收技术规范》（HJ193-2013）、环境空气颗粒物（PM10和PM2.5）连续自动监测系统技术要求及检测方法(HJ653-2013)、环境空气颗粒物（PM10和PM2.5）连续自动监测系统安装和验收技术规范(HJ 655-2013）的有关规定。</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②投标人应提供品牌厂商原装、全新的、符合国家及用户提出的有关质量标准的设备；</w:t>
      </w:r>
      <w:r>
        <w:rPr>
          <w:rFonts w:hint="eastAsia" w:ascii="宋体" w:hAnsi="宋体" w:cs="宋体"/>
          <w:bCs/>
          <w:color w:val="000000"/>
          <w:sz w:val="24"/>
          <w:szCs w:val="24"/>
          <w:highlight w:val="none"/>
          <w:lang w:eastAsia="zh-CN"/>
        </w:rPr>
        <w:t xml:space="preserve">主要监测仪器</w:t>
      </w:r>
      <w:r>
        <w:rPr>
          <w:rFonts w:hint="eastAsia" w:ascii="宋体" w:hAnsi="宋体" w:cs="宋体"/>
          <w:b w:val="0"/>
          <w:bCs/>
          <w:color w:val="000000"/>
          <w:sz w:val="24"/>
          <w:szCs w:val="24"/>
          <w:highlight w:val="none"/>
        </w:rPr>
        <w:t xml:space="preserve">SO2分析仪、NO-NO2-NOx分析仪、O3分析仪、CO分析、PM10分析仪、PM2.5分析仪</w:t>
      </w:r>
      <w:r>
        <w:rPr>
          <w:rFonts w:hint="eastAsia" w:ascii="宋体" w:hAnsi="宋体" w:cs="宋体"/>
          <w:b w:val="0"/>
          <w:bCs/>
          <w:color w:val="000000"/>
          <w:sz w:val="24"/>
          <w:szCs w:val="24"/>
          <w:highlight w:val="none"/>
          <w:lang w:eastAsia="zh-CN"/>
        </w:rPr>
        <w:t xml:space="preserve">须</w:t>
      </w:r>
      <w:r>
        <w:rPr>
          <w:rFonts w:hint="eastAsia" w:ascii="宋体" w:hAnsi="宋体" w:cs="宋体"/>
          <w:bCs/>
          <w:color w:val="000000"/>
          <w:sz w:val="24"/>
          <w:szCs w:val="24"/>
          <w:highlight w:val="none"/>
        </w:rPr>
        <w:t xml:space="preserve">有原厂家的质量合格证明和</w:t>
      </w:r>
      <w:r>
        <w:rPr>
          <w:rFonts w:hint="eastAsia" w:ascii="宋体" w:hAnsi="宋体" w:cs="宋体"/>
          <w:bCs/>
          <w:color w:val="000000"/>
          <w:sz w:val="24"/>
          <w:szCs w:val="24"/>
          <w:highlight w:val="none"/>
          <w:lang w:eastAsia="zh-CN"/>
        </w:rPr>
        <w:t xml:space="preserve">关于本项目的</w:t>
      </w:r>
      <w:r>
        <w:rPr>
          <w:rFonts w:hint="eastAsia" w:ascii="宋体" w:hAnsi="宋体" w:cs="宋体"/>
          <w:bCs/>
          <w:color w:val="000000"/>
          <w:sz w:val="24"/>
          <w:szCs w:val="24"/>
          <w:highlight w:val="none"/>
        </w:rPr>
        <w:t xml:space="preserve">原厂保修证明文件</w:t>
      </w:r>
      <w:r>
        <w:rPr>
          <w:rFonts w:hint="eastAsia" w:ascii="宋体" w:hAnsi="宋体" w:cs="宋体"/>
          <w:b/>
          <w:bCs w:val="0"/>
          <w:color w:val="000000"/>
          <w:sz w:val="24"/>
          <w:szCs w:val="24"/>
          <w:highlight w:val="none"/>
          <w:lang w:eastAsia="zh-CN"/>
        </w:rPr>
        <w:t xml:space="preserve">（原厂保修证明文件需在投标文件中体现）</w:t>
      </w:r>
      <w:r>
        <w:rPr>
          <w:rFonts w:hint="eastAsia" w:ascii="宋体" w:hAnsi="宋体" w:cs="宋体"/>
          <w:b/>
          <w:bCs w:val="0"/>
          <w:color w:val="000000"/>
          <w:sz w:val="24"/>
          <w:szCs w:val="24"/>
          <w:highlight w:val="none"/>
        </w:rPr>
        <w:t xml:space="preserve">；</w:t>
      </w:r>
      <w:r>
        <w:rPr>
          <w:rFonts w:hint="eastAsia" w:ascii="宋体" w:hAnsi="宋体" w:cs="宋体"/>
          <w:bCs/>
          <w:color w:val="000000"/>
          <w:sz w:val="24"/>
          <w:szCs w:val="24"/>
          <w:highlight w:val="none"/>
        </w:rPr>
        <w:t xml:space="preserve">提供原厂配套的配件。设备的性能应达到或优于本招标书所列的指标。</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③各监测仪器掉电后，能自动保存数据：恢复供电后系统可自动启动，恢复运行状态并正常开始工作。</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④投标人需按统一的数据传输协议将设备监测数据以及状态参数无缝接入本项目“</w:t>
      </w:r>
      <w:r>
        <w:rPr>
          <w:rFonts w:hint="eastAsia" w:ascii="宋体" w:hAnsi="宋体" w:cs="宋体"/>
          <w:bCs/>
          <w:color w:val="000000"/>
          <w:sz w:val="24"/>
          <w:szCs w:val="24"/>
          <w:highlight w:val="none"/>
          <w:lang w:eastAsia="zh-CN"/>
        </w:rPr>
        <w:t xml:space="preserve">江苏省</w:t>
      </w:r>
      <w:r>
        <w:rPr>
          <w:rFonts w:hint="eastAsia" w:ascii="宋体" w:hAnsi="宋体" w:cs="宋体"/>
          <w:bCs/>
          <w:color w:val="000000"/>
          <w:sz w:val="24"/>
          <w:szCs w:val="24"/>
          <w:highlight w:val="none"/>
        </w:rPr>
        <w:t xml:space="preserve">数据处理及应用平台”。提供现场仪器设备数据通讯协议、传输协议以及开放系统数据库，便于采购人对数据库软件的二次开发和利用。</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2、仪器技术参数</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 SO2分析仪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1）分析方法：脉冲紫外荧光法（或紫外荧光法）；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2）量程：0-500ppb或更多可选量程，具有量程自动切换，用户自定义功能；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3）单位：ppb, ppm, 或 µg/m3, mg/m3（用户可选）；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4）零点噪声：≤0.1ppb；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5）量程噪声：≤1.</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6）最低检测限：≤0.1ppb；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7）示值误差：≤±0.</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8）量程精密度：20%量程精密度≤1.5ppb，80%量程精密度≤1.5ppb；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9）零漂（24小时）：≤±0.5ppb；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10）跨漂（24小时）：20%量程漂移≤±1.</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ppb，80%量程漂移≤±5.0ppb；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11）响应时间：≤110s；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12）电压稳定性：≤±1.0%F.S；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13）流量稳定性：≤±2.0%；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14）干扰成分影响：≤±0.2%F.S.（H2O）、≤±0.2%F.S.（甲苯）；</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15）环境温度变化影响：＜0</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16）数据存储能力：用闪存增强数据存储性能，</w:t>
      </w:r>
      <w:r>
        <w:rPr>
          <w:rFonts w:hint="eastAsia" w:ascii="宋体" w:hAnsi="宋体" w:cs="宋体"/>
          <w:bCs/>
          <w:color w:val="000000"/>
          <w:sz w:val="24"/>
          <w:szCs w:val="24"/>
          <w:highlight w:val="none"/>
          <w:lang w:eastAsia="zh-CN"/>
        </w:rPr>
        <w:t xml:space="preserve">可存储</w:t>
      </w:r>
      <w:r>
        <w:rPr>
          <w:rFonts w:hint="eastAsia" w:ascii="宋体" w:hAnsi="宋体" w:cs="宋体"/>
          <w:bCs/>
          <w:color w:val="000000"/>
          <w:sz w:val="24"/>
          <w:szCs w:val="24"/>
          <w:highlight w:val="none"/>
          <w:lang w:val="en-US" w:eastAsia="zh-CN"/>
        </w:rPr>
        <w:t xml:space="preserve">10年以上历史数据</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17）模拟输出：3路，多种模拟输出，0-1/2/5/10V、0-20mA或4-20mA；</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18）数字输出：2个RS232或RS485数字接口；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19）接口：以太网接口及USB接口；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20）零跨阀：内置，支持远程自动零满校准和检查功能；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21）运行环境：0℃-40℃；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22）要求仪器稳定可靠、精度高，同时通过中国环境保护产品认证（CCEP）和生态环境部（原环境保护部）监测仪器设备质量监督检验中心的适用性测试。</w:t>
      </w:r>
      <w:r>
        <w:rPr>
          <w:rFonts w:hint="eastAsia" w:ascii="宋体" w:hAnsi="宋体" w:cs="宋体"/>
          <w:b w:val="0"/>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 NO-NO2-NOx分析仪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1）分析方法：化学发光法；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2）量程：0-500ppb或更多可选量程，具有量程自动切换，用户自定义功能；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3）单位：ppb, ppm, 或 µg/m3, mg/m3（用户可选）；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4）零点噪声：≤0.</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5）量程噪声：≤</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.5ppb；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6）最低检测限：≤0.</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7）示值误差：≤±0.3% 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8）量程精密度：20%量程精密度≤2.0ppb，80%量程精密度≤</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.0ppb；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9）零漂（24小时）：≤±0.</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10）跨漂（24小时）：20%量程漂移≤±</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ppb，80%量程漂移≤±</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11）响应时间：≤30s；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12）电压稳定性：≤±1.0%F.S；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13）流量稳定性：≤±1.1%；</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14）干扰成分影响：＜±0.1%F.S.（H2O）、＜±0.05%F.S.（NH3）、＜±0.02%F.S.（O3）、＜±0.02%F.S.（SO2）；</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15）环境温度变化影响：≤0.5ppb/℃；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16）钼炉转化效率：≥9</w:t>
      </w:r>
      <w:r>
        <w:rPr>
          <w:rFonts w:hint="eastAsia" w:ascii="宋体" w:hAnsi="宋体" w:cs="宋体"/>
          <w:bCs/>
          <w:color w:val="000000"/>
          <w:sz w:val="24"/>
          <w:szCs w:val="24"/>
          <w:highlight w:val="none"/>
          <w:lang w:val="en-US" w:eastAsia="zh-CN"/>
        </w:rPr>
        <w:t xml:space="preserve">8.5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rPr>
      </w:pPr>
      <w:r>
        <w:rPr>
          <w:rFonts w:hint="eastAsia" w:ascii="宋体" w:hAnsi="宋体" w:cs="宋体"/>
          <w:bCs/>
          <w:color w:val="000000"/>
          <w:sz w:val="24"/>
          <w:szCs w:val="24"/>
          <w:highlight w:val="none"/>
        </w:rPr>
        <w:t xml:space="preserve">17）数据存储能力：用闪存增强数据存储性能，</w:t>
      </w:r>
      <w:r>
        <w:rPr>
          <w:rFonts w:hint="eastAsia" w:ascii="宋体" w:hAnsi="宋体" w:cs="宋体"/>
          <w:bCs/>
          <w:color w:val="000000"/>
          <w:sz w:val="24"/>
          <w:szCs w:val="24"/>
          <w:highlight w:val="none"/>
          <w:lang w:eastAsia="zh-CN"/>
        </w:rPr>
        <w:t xml:space="preserve">可存储</w:t>
      </w:r>
      <w:r>
        <w:rPr>
          <w:rFonts w:hint="eastAsia" w:ascii="宋体" w:hAnsi="宋体" w:cs="宋体"/>
          <w:bCs/>
          <w:color w:val="000000"/>
          <w:sz w:val="24"/>
          <w:szCs w:val="24"/>
          <w:highlight w:val="none"/>
          <w:lang w:val="en-US" w:eastAsia="zh-CN"/>
        </w:rPr>
        <w:t xml:space="preserve">10年以上历史数据；</w:t>
      </w:r>
      <w:r>
        <w:rPr>
          <w:rFonts w:ascii="宋体" w:hAnsi="宋体" w:cs="宋体"/>
          <w:bCs/>
          <w:color w:val="000000"/>
          <w:sz w:val="24"/>
          <w:szCs w:val="24"/>
          <w:highlight w:val="none"/>
          <w:lang w:val="en-US"/>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18）模拟输出：3路，多种模拟输出，0-1/2/5/10V、0-20mA或4-20mA</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19）数字输出：2个RS232或RS485数字接口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20）接口：以太网接口及USB接口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21）零跨阀：内置，支持远程自动零满校准和检查功能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22）运行环境：0℃-40℃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23）要求仪器稳定可靠、精度高，同时通过中国环境保护产品认证（CCEP）和生态环境部（原环境保护部）监测仪器设备质量监督检验中心的适用性测试。</w:t>
      </w:r>
      <w:r>
        <w:rPr>
          <w:rFonts w:hint="eastAsia" w:ascii="宋体" w:hAnsi="宋体" w:cs="宋体"/>
          <w:b w:val="0"/>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 O3分析仪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1）分析方法：紫外光度法（或者紫外吸收法）；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2）量程：(0-500)ppb或更多可选量程，具有量程自动切换，用户自定义功能；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3）单位：ppb, ppm, 或 µg/m3, mg/m3（用户可选）；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▲4）双光池检测技术，实现真正意义上的实时测量</w:t>
      </w:r>
      <w:r>
        <w:rPr>
          <w:rFonts w:hint="eastAsia" w:ascii="宋体" w:hAnsi="宋体" w:cs="宋体"/>
          <w:b/>
          <w:bCs w:val="0"/>
          <w:color w:val="000000"/>
          <w:sz w:val="24"/>
          <w:szCs w:val="24"/>
          <w:highlight w:val="none"/>
        </w:rPr>
        <w:t xml:space="preserve">（提供省级计量院出具的证明材料复印件）；</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▲5）零点噪声：≤0.1ppb；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6）量程噪声：≤1.0ppb；</w:t>
      </w:r>
      <w:bookmarkStart w:id="203" w:name="OLE_LINK17"/>
      <w:r/>
      <w:bookmarkStart w:id="204" w:name="OLE_LINK16"/>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bookmarkEnd w:id="203"/>
      <w:r/>
      <w:bookmarkEnd w:id="204"/>
      <w:r>
        <w:rPr>
          <w:rFonts w:hint="eastAsia" w:ascii="宋体" w:hAnsi="宋体" w:cs="宋体"/>
          <w:bCs/>
          <w:color w:val="000000"/>
          <w:sz w:val="24"/>
          <w:szCs w:val="24"/>
          <w:highlight w:val="none"/>
        </w:rPr>
        <w:t xml:space="preserve">7）最低检测限：≤0.</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8）示值误差：≤±0.3% 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▲9）量程精密度：20%量程精密度≤0.6ppb，80%量程精密度≤0.4ppb；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▲10）零漂（24小时）：≤±0.</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11）跨漂（24小时）：20%量程漂移≤±1.5ppb，80%量程漂移≤±2.0ppb；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▲12）响应时间：≤65s；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13）电压稳定性：≤±0.4%F.S；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14）流量稳定性：≤±</w:t>
      </w:r>
      <w:r>
        <w:rPr>
          <w:rFonts w:hint="eastAsia" w:ascii="宋体" w:hAnsi="宋体" w:cs="宋体"/>
          <w:bCs/>
          <w:color w:val="000000"/>
          <w:sz w:val="24"/>
          <w:szCs w:val="24"/>
          <w:highlight w:val="none"/>
          <w:lang w:val="en-US" w:eastAsia="zh-CN"/>
        </w:rPr>
        <w:t xml:space="preserve">2.5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15）干扰成分影响：≤±0.2%F.S.（H2O）、≤±0.1%F.S.（甲苯）、≤±0.2%F.S.（SO2）、≤±0.1%F.S.（NO/NO2）；</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16）环境温度变化影响：≤1.0ppb/℃；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17）数据存储能力：用闪存增强数据存储性能,可存储10年以上历史数据；</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18）模拟输出：3路，多种模拟输出，0-1/2/5/10V、0-20mA或4-20mA；</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19）数字输出：2个RS232或RS485数字接口；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20）接口：以太网接口及USB接口；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21）零跨阀：内置，支持远程自动零满校准和检查功能；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22）运行环境：0℃-40℃；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23）要求仪器稳定可靠、精度高，同时通过中国环境保护产品认证（CCEP）和生态环境部（原环境保护部）监测仪器设备质量监督检验中心的适用性测试。</w:t>
      </w:r>
      <w:r>
        <w:rPr>
          <w:rFonts w:hint="eastAsia" w:ascii="宋体" w:hAnsi="宋体" w:cs="宋体"/>
          <w:b w:val="0"/>
          <w:bCs/>
          <w:color w:val="000000"/>
          <w:sz w:val="24"/>
          <w:szCs w:val="24"/>
          <w:highlight w:val="none"/>
        </w:rPr>
      </w:r>
      <w:r/>
    </w:p>
    <w:p>
      <w:pPr>
        <w:pStyle w:val="1304"/>
        <w:ind w:firstLine="482"/>
        <w:keepLines w:val="0"/>
        <w:keepNext w:val="0"/>
        <w:pageBreakBefore w:val="0"/>
        <w:spacing w:line="360" w:lineRule="auto"/>
        <w:widowControl w:val="off"/>
        <w:tabs>
          <w:tab w:val="center" w:pos="4153" w:leader="none"/>
          <w:tab w:val="right" w:pos="8306"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注：以上技术参数在测试报告中若有检测结果，须</w:t>
      </w:r>
      <w:r>
        <w:rPr>
          <w:rFonts w:hint="eastAsia" w:ascii="宋体" w:hAnsi="宋体" w:cs="宋体"/>
          <w:b/>
          <w:bCs w:val="0"/>
          <w:color w:val="000000"/>
          <w:sz w:val="24"/>
          <w:szCs w:val="24"/>
          <w:highlight w:val="none"/>
          <w:lang w:eastAsia="zh-CN"/>
        </w:rPr>
        <w:t xml:space="preserve">提供</w:t>
      </w:r>
      <w:r>
        <w:rPr>
          <w:rFonts w:hint="eastAsia" w:ascii="宋体" w:hAnsi="宋体" w:cs="宋体"/>
          <w:b/>
          <w:bCs w:val="0"/>
          <w:color w:val="000000"/>
          <w:sz w:val="24"/>
          <w:szCs w:val="24"/>
          <w:highlight w:val="none"/>
        </w:rPr>
        <w:t xml:space="preserve">有效期内</w:t>
      </w:r>
      <w:r>
        <w:rPr>
          <w:rFonts w:hint="eastAsia" w:ascii="宋体" w:hAnsi="宋体" w:cs="宋体"/>
          <w:b/>
          <w:bCs w:val="0"/>
          <w:color w:val="000000"/>
          <w:sz w:val="24"/>
          <w:szCs w:val="24"/>
          <w:highlight w:val="none"/>
          <w:lang w:val="en-US" w:eastAsia="zh-CN"/>
        </w:rPr>
        <w:t xml:space="preserve">环保部环境监测仪器质量监督监测中心出具的</w:t>
      </w:r>
      <w:r>
        <w:rPr>
          <w:rFonts w:hint="eastAsia" w:ascii="宋体" w:hAnsi="宋体" w:cs="宋体"/>
          <w:b/>
          <w:bCs w:val="0"/>
          <w:color w:val="000000"/>
          <w:sz w:val="24"/>
          <w:szCs w:val="24"/>
          <w:highlight w:val="none"/>
          <w:lang w:eastAsia="zh-CN"/>
        </w:rPr>
        <w:t xml:space="preserve">合格</w:t>
      </w:r>
      <w:r>
        <w:rPr>
          <w:rFonts w:hint="eastAsia" w:ascii="宋体" w:hAnsi="宋体" w:cs="宋体"/>
          <w:b/>
          <w:bCs w:val="0"/>
          <w:color w:val="000000"/>
          <w:sz w:val="24"/>
          <w:szCs w:val="24"/>
          <w:highlight w:val="none"/>
        </w:rPr>
        <w:t xml:space="preserve">检测报告结果作为响应评审依据。</w:t>
      </w:r>
      <w:r>
        <w:rPr>
          <w:rFonts w:hint="eastAsia" w:ascii="宋体" w:hAnsi="宋体" w:cs="宋体"/>
          <w:b/>
          <w:bCs w:val="0"/>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2.4、CO分析仪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1）分析方法：气体过滤相关法（或者气体滤波相关红外吸收法）；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2）量程：0-50ppm或更多可选量程，具有量程自动切换，用户自定义功能；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3）单位：ppm或mg/m3可选；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4）零点噪声：≤0.</w:t>
      </w:r>
      <w:r>
        <w:rPr>
          <w:rFonts w:hint="eastAsia" w:ascii="宋体" w:hAnsi="宋体" w:cs="宋体"/>
          <w:bCs/>
          <w:color w:val="000000"/>
          <w:sz w:val="24"/>
          <w:szCs w:val="24"/>
          <w:highlight w:val="none"/>
          <w:lang w:val="en-US" w:eastAsia="zh-CN"/>
        </w:rPr>
        <w:t xml:space="preserve">01</w:t>
      </w:r>
      <w:r>
        <w:rPr>
          <w:rFonts w:hint="eastAsia" w:ascii="宋体" w:hAnsi="宋体" w:cs="宋体"/>
          <w:bCs/>
          <w:color w:val="000000"/>
          <w:sz w:val="24"/>
          <w:szCs w:val="24"/>
          <w:highlight w:val="none"/>
        </w:rPr>
        <w:t xml:space="preserve">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5）量程噪声：≤0.05ppm；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6）最低检测限：≤0.</w:t>
      </w:r>
      <w:r>
        <w:rPr>
          <w:rFonts w:hint="eastAsia" w:ascii="宋体" w:hAnsi="宋体" w:cs="宋体"/>
          <w:bCs/>
          <w:color w:val="000000"/>
          <w:sz w:val="24"/>
          <w:szCs w:val="24"/>
          <w:highlight w:val="none"/>
          <w:lang w:val="en-US" w:eastAsia="zh-CN"/>
        </w:rPr>
        <w:t xml:space="preserve">01</w:t>
      </w:r>
      <w:r>
        <w:rPr>
          <w:rFonts w:hint="eastAsia" w:ascii="宋体" w:hAnsi="宋体" w:cs="宋体"/>
          <w:bCs/>
          <w:color w:val="000000"/>
          <w:sz w:val="24"/>
          <w:szCs w:val="24"/>
          <w:highlight w:val="none"/>
        </w:rPr>
        <w:t xml:space="preserve">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7）示值误差：≤±0.</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8）量程精密度：20%量程精密度≤0.02ppm，80%量程精密度≤0.03ppm；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9）零漂（24小时）：≤±0.1ppm；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10）跨漂（24小时）：20%量程漂移≤±0.1ppm，80%量程漂移≤±0.5ppm；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11）响应时间：≤105s；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12）电压稳定性：≤±0.1%F.S；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13）流量稳定性：≤±</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14）干扰成分影响：≤±0.1%F.S.（H2O）、≤±0.01%F.S.（CO2）；</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15）环境温度变化影响：≤0.05ppm/℃；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rPr>
      </w:pPr>
      <w:r>
        <w:rPr>
          <w:rFonts w:hint="eastAsia" w:ascii="宋体" w:hAnsi="宋体" w:cs="宋体"/>
          <w:bCs/>
          <w:color w:val="000000"/>
          <w:sz w:val="24"/>
          <w:szCs w:val="24"/>
          <w:highlight w:val="none"/>
        </w:rPr>
        <w:t xml:space="preserve">16）数据存储能力：用闪存增强数据存储性能，</w:t>
      </w:r>
      <w:r>
        <w:rPr>
          <w:rFonts w:hint="eastAsia" w:ascii="宋体" w:hAnsi="宋体" w:cs="宋体"/>
          <w:bCs/>
          <w:color w:val="000000"/>
          <w:sz w:val="24"/>
          <w:szCs w:val="24"/>
          <w:highlight w:val="none"/>
          <w:lang w:eastAsia="zh-CN"/>
        </w:rPr>
        <w:t xml:space="preserve">可存储</w:t>
      </w:r>
      <w:r>
        <w:rPr>
          <w:rFonts w:hint="eastAsia" w:ascii="宋体" w:hAnsi="宋体" w:cs="宋体"/>
          <w:bCs/>
          <w:color w:val="000000"/>
          <w:sz w:val="24"/>
          <w:szCs w:val="24"/>
          <w:highlight w:val="none"/>
          <w:lang w:val="en-US" w:eastAsia="zh-CN"/>
        </w:rPr>
        <w:t xml:space="preserve">10年以上历史数据；</w:t>
      </w:r>
      <w:r>
        <w:rPr>
          <w:rFonts w:ascii="宋体" w:hAnsi="宋体" w:cs="宋体"/>
          <w:bCs/>
          <w:color w:val="000000"/>
          <w:sz w:val="24"/>
          <w:szCs w:val="24"/>
          <w:highlight w:val="none"/>
          <w:lang w:val="en-US"/>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17）模拟输出：3路，多种模拟输出，0-1/2/5/10V、0-20mA或4-20mA</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18）数字输出：2个RS232或RS485数字接口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19）接口：以太网接口及USB接口</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20）零跨阀：内置，支持远程自动零满校准和检查功能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21）运行环境：0℃-40℃</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22）要求仪器稳定可靠、精度高，同时通过中国环境保护产品认证（CCEP）和生态环境部（原环境保护部）监测仪器设备质量监督检验中心的适用性测试。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2.5、PM2.5 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分析方法</w:t>
      </w:r>
      <w:r>
        <w:rPr>
          <w:rFonts w:hint="eastAsia" w:ascii="宋体" w:hAnsi="宋体" w:cs="宋体"/>
          <w:bCs/>
          <w:color w:val="000000"/>
          <w:sz w:val="24"/>
          <w:szCs w:val="24"/>
          <w:highlight w:val="none"/>
        </w:rPr>
        <w:t xml:space="preserve">：β射线吸收法+光散射法</w:t>
      </w:r>
      <w:r>
        <w:rPr>
          <w:rFonts w:hint="eastAsia" w:ascii="宋体" w:hAnsi="宋体" w:cs="宋体"/>
          <w:bCs/>
          <w:color w:val="000000"/>
          <w:sz w:val="24"/>
          <w:szCs w:val="24"/>
          <w:highlight w:val="none"/>
          <w:lang w:eastAsia="zh-CN"/>
        </w:rPr>
        <w:t xml:space="preserve">双检测技术</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采用同位采样测量结构，采样和测量区域位于同一位置</w:t>
      </w:r>
      <w:r>
        <w:rPr>
          <w:rFonts w:hint="eastAsia" w:ascii="宋体" w:hAnsi="宋体" w:cs="宋体"/>
          <w:bCs/>
          <w:color w:val="000000"/>
          <w:sz w:val="24"/>
          <w:szCs w:val="24"/>
          <w:highlight w:val="none"/>
        </w:rPr>
        <w:t xml:space="preserve">。</w:t>
      </w:r>
      <w:r>
        <w:rPr>
          <w:rFonts w:hint="eastAsia" w:ascii="宋体" w:hAnsi="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提供环保部环境监测仪器质量监督监测中心出具的</w:t>
      </w:r>
      <w:r>
        <w:rPr>
          <w:rFonts w:hint="eastAsia" w:ascii="宋体" w:hAnsi="宋体" w:cs="宋体"/>
          <w:b/>
          <w:bCs w:val="0"/>
          <w:color w:val="000000"/>
          <w:sz w:val="24"/>
          <w:szCs w:val="24"/>
          <w:highlight w:val="none"/>
          <w:lang w:eastAsia="zh-CN"/>
        </w:rPr>
        <w:t xml:space="preserve">适用性检测报告作为证明材料</w:t>
      </w:r>
      <w:r>
        <w:rPr>
          <w:rFonts w:hint="eastAsia" w:ascii="宋体" w:hAnsi="宋体" w:cs="宋体"/>
          <w:b/>
          <w:bCs w:val="0"/>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PM2.5</w:t>
      </w:r>
      <w:r>
        <w:rPr>
          <w:rFonts w:hint="eastAsia" w:ascii="宋体" w:hAnsi="宋体" w:cs="宋体"/>
          <w:bCs/>
          <w:color w:val="000000"/>
          <w:sz w:val="24"/>
          <w:szCs w:val="24"/>
          <w:highlight w:val="none"/>
          <w:lang w:eastAsia="zh-CN"/>
        </w:rPr>
        <w:t xml:space="preserve">切割器：</w:t>
      </w:r>
      <w:r>
        <w:rPr>
          <w:rFonts w:hint="eastAsia" w:ascii="宋体" w:hAnsi="宋体" w:cs="宋体"/>
          <w:bCs/>
          <w:color w:val="000000"/>
          <w:sz w:val="24"/>
          <w:szCs w:val="24"/>
          <w:highlight w:val="none"/>
          <w:lang w:val="en-US" w:eastAsia="zh-CN"/>
        </w:rPr>
        <w:t xml:space="preserve">50%切割粒径（Da50）：2.5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0.1</w:t>
      </w:r>
      <w:r>
        <w:rPr>
          <w:rFonts w:hint="eastAsia" w:ascii="宋体" w:hAnsi="宋体" w:cs="宋体"/>
          <w:bCs/>
          <w:color w:val="000000"/>
          <w:sz w:val="24"/>
          <w:szCs w:val="24"/>
          <w:highlight w:val="none"/>
        </w:rPr>
        <w:t xml:space="preserve">μm</w:t>
      </w:r>
      <w:r>
        <w:rPr>
          <w:rFonts w:hint="eastAsia" w:ascii="宋体" w:hAnsi="宋体" w:cs="宋体"/>
          <w:bCs/>
          <w:color w:val="000000"/>
          <w:sz w:val="24"/>
          <w:szCs w:val="24"/>
          <w:highlight w:val="none"/>
          <w:lang w:eastAsia="zh-CN"/>
        </w:rPr>
        <w:t xml:space="preserve">；捕集效率的几何标准偏差：δ</w:t>
      </w:r>
      <w:r>
        <w:rPr>
          <w:rFonts w:hint="eastAsia" w:ascii="宋体" w:hAnsi="宋体" w:cs="宋体"/>
          <w:bCs/>
          <w:color w:val="000000"/>
          <w:sz w:val="24"/>
          <w:szCs w:val="24"/>
          <w:highlight w:val="none"/>
          <w:lang w:val="en-US" w:eastAsia="zh-CN"/>
        </w:rPr>
        <w:t xml:space="preserve">g=1.5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0.1。</w:t>
      </w:r>
      <w:r>
        <w:rPr>
          <w:rFonts w:hint="eastAsia" w:ascii="宋体" w:hAnsi="宋体" w:cs="宋体"/>
          <w:b/>
          <w:bCs w:val="0"/>
          <w:color w:val="000000"/>
          <w:sz w:val="24"/>
          <w:szCs w:val="24"/>
          <w:highlight w:val="none"/>
          <w:lang w:val="en-US" w:eastAsia="zh-CN"/>
        </w:rPr>
        <w:t xml:space="preserve">（提供环保部环境监测仪器质量监督监测中心出具的适用性检测报告中的数据作为证明材料）</w:t>
      </w:r>
      <w:r>
        <w:rPr>
          <w:rFonts w:hint="eastAsia"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3）检测器：闪烁光电倍增管。</w:t>
      </w:r>
      <w:r>
        <w:rPr>
          <w:rFonts w:hint="eastAsia"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4）测量范围：0~1000</w:t>
      </w:r>
      <w:r>
        <w:rPr>
          <w:rFonts w:hint="eastAsia" w:ascii="宋体" w:hAnsi="宋体" w:cs="宋体"/>
          <w:bCs/>
          <w:color w:val="000000"/>
          <w:sz w:val="24"/>
          <w:szCs w:val="24"/>
          <w:highlight w:val="none"/>
        </w:rPr>
        <w:t xml:space="preserve">μg/m3</w:t>
      </w:r>
      <w:r>
        <w:rPr>
          <w:rFonts w:hint="eastAsia" w:ascii="宋体" w:hAnsi="宋体" w:cs="宋体"/>
          <w:bCs/>
          <w:color w:val="000000"/>
          <w:sz w:val="24"/>
          <w:szCs w:val="24"/>
          <w:highlight w:val="none"/>
          <w:lang w:eastAsia="zh-CN"/>
        </w:rPr>
        <w:t xml:space="preserve">或</w:t>
      </w:r>
      <w:r>
        <w:rPr>
          <w:rFonts w:hint="eastAsia" w:ascii="宋体" w:hAnsi="宋体" w:cs="宋体"/>
          <w:bCs/>
          <w:color w:val="000000"/>
          <w:sz w:val="24"/>
          <w:szCs w:val="24"/>
          <w:highlight w:val="none"/>
          <w:lang w:val="en-US" w:eastAsia="zh-CN"/>
        </w:rPr>
        <w:t xml:space="preserve">0~10000</w:t>
      </w:r>
      <w:r>
        <w:rPr>
          <w:rFonts w:hint="eastAsia" w:ascii="宋体" w:hAnsi="宋体" w:cs="宋体"/>
          <w:bCs/>
          <w:color w:val="000000"/>
          <w:sz w:val="24"/>
          <w:szCs w:val="24"/>
          <w:highlight w:val="none"/>
        </w:rPr>
        <w:t xml:space="preserve">μg/m3。</w:t>
      </w:r>
      <w:r>
        <w:rPr>
          <w:rFonts w:hint="eastAsia"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最小显示单位：0.1μg/m3。</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）采样流量：16.67 L/min。</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7）流量测试：平均流量偏差≤</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0.5%；流量相对标准偏差≤0.5%；平均流量示值误差≤0.5%。</w:t>
      </w:r>
      <w:r>
        <w:rPr>
          <w:rFonts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采样滤纸带</w:t>
      </w:r>
      <w:r>
        <w:rPr>
          <w:rFonts w:hint="eastAsia" w:ascii="宋体" w:hAnsi="宋体" w:cs="宋体"/>
          <w:bCs/>
          <w:color w:val="000000"/>
          <w:sz w:val="24"/>
          <w:szCs w:val="24"/>
          <w:highlight w:val="none"/>
          <w:lang w:val="en-US" w:eastAsia="zh-CN"/>
        </w:rPr>
        <w:t xml:space="preserve">:每卷可采斑点数不少于1500个，支持超过1年使用时间。</w:t>
      </w:r>
      <w:r>
        <w:rPr>
          <w:rFonts w:hint="eastAsia" w:ascii="宋体" w:hAnsi="宋体" w:cs="宋体"/>
          <w:bCs/>
          <w:color w:val="000000"/>
          <w:sz w:val="24"/>
          <w:szCs w:val="24"/>
          <w:highlight w:val="none"/>
          <w:lang w:val="en-US" w:eastAsia="zh-CN"/>
        </w:rPr>
      </w:r>
      <w:r/>
    </w:p>
    <w:p>
      <w:pPr>
        <w:pStyle w:val="1304"/>
        <w:numPr>
          <w:ilvl w:val="0"/>
          <w:numId w:val="7"/>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检出限：≤1.2</w:t>
      </w:r>
      <w:r>
        <w:rPr>
          <w:rFonts w:hint="eastAsia" w:ascii="宋体" w:hAnsi="宋体" w:cs="宋体"/>
          <w:bCs/>
          <w:color w:val="000000"/>
          <w:sz w:val="24"/>
          <w:szCs w:val="24"/>
          <w:highlight w:val="none"/>
        </w:rPr>
        <w:t xml:space="preserve">μg/m3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24h</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304"/>
        <w:numPr>
          <w:ilvl w:val="0"/>
          <w:numId w:val="7"/>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校准膜示值误差：≤</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
          <w:bCs w:val="0"/>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11）</w:t>
      </w:r>
      <w:r>
        <w:rPr>
          <w:rFonts w:hint="eastAsia" w:ascii="宋体" w:hAnsi="宋体" w:cs="宋体"/>
          <w:bCs/>
          <w:color w:val="000000"/>
          <w:sz w:val="24"/>
          <w:szCs w:val="24"/>
          <w:highlight w:val="none"/>
          <w:lang w:eastAsia="zh-CN"/>
        </w:rPr>
        <w:t xml:space="preserve">数据输出速率：每</w:t>
      </w:r>
      <w:r>
        <w:rPr>
          <w:rFonts w:hint="eastAsia" w:ascii="宋体" w:hAnsi="宋体" w:cs="宋体"/>
          <w:bCs/>
          <w:color w:val="000000"/>
          <w:sz w:val="24"/>
          <w:szCs w:val="24"/>
          <w:highlight w:val="none"/>
          <w:lang w:val="en-US" w:eastAsia="zh-CN"/>
        </w:rPr>
        <w:t xml:space="preserve">1秒。</w:t>
      </w:r>
      <w:r>
        <w:rPr>
          <w:rFonts w:hint="eastAsia" w:ascii="宋体" w:hAnsi="宋体" w:cs="宋体"/>
          <w:b/>
          <w:bCs w:val="0"/>
          <w:color w:val="000000"/>
          <w:sz w:val="24"/>
          <w:szCs w:val="24"/>
          <w:highlight w:val="none"/>
          <w:lang w:val="en-US" w:eastAsia="zh-CN"/>
        </w:rPr>
        <w:t xml:space="preserve">（提供仪器彩页或说明书描述作为证明材料）</w:t>
      </w:r>
      <w:r>
        <w:rPr>
          <w:rFonts w:hint="eastAsia" w:ascii="宋体" w:hAnsi="宋体" w:cs="宋体"/>
          <w:b/>
          <w:bCs w:val="0"/>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12）长期平均值：60-3600秒。</w:t>
      </w:r>
      <w:r>
        <w:rPr>
          <w:rFonts w:hint="eastAsia" w:ascii="宋体" w:hAnsi="宋体" w:cs="宋体"/>
          <w:b/>
          <w:bCs w:val="0"/>
          <w:color w:val="000000"/>
          <w:sz w:val="24"/>
          <w:szCs w:val="24"/>
          <w:highlight w:val="none"/>
          <w:lang w:val="en-US" w:eastAsia="zh-CN"/>
        </w:rPr>
        <w:t xml:space="preserve">（提供仪器彩页或说明书描述作为证明材料）</w:t>
      </w:r>
      <w:r>
        <w:rPr>
          <w:rFonts w:hint="eastAsia" w:ascii="宋体" w:hAnsi="宋体" w:cs="宋体"/>
          <w:bCs/>
          <w:color w:val="000000"/>
          <w:sz w:val="24"/>
          <w:szCs w:val="24"/>
          <w:highlight w:val="none"/>
          <w:lang w:val="en-US" w:eastAsia="zh-CN"/>
        </w:rPr>
      </w:r>
      <w:r/>
    </w:p>
    <w:p>
      <w:pPr>
        <w:pStyle w:val="1304"/>
        <w:numPr>
          <w:ilvl w:val="0"/>
          <w:numId w:val="8"/>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平行性：≤8%。</w:t>
      </w:r>
      <w:r>
        <w:rPr>
          <w:rFonts w:hint="eastAsia" w:ascii="宋体" w:hAnsi="宋体" w:cs="宋体"/>
          <w:bCs/>
          <w:color w:val="000000"/>
          <w:sz w:val="24"/>
          <w:szCs w:val="24"/>
          <w:highlight w:val="none"/>
          <w:lang w:val="en-US" w:eastAsia="zh-CN"/>
        </w:rPr>
      </w:r>
      <w:r/>
    </w:p>
    <w:p>
      <w:pPr>
        <w:pStyle w:val="1304"/>
        <w:numPr>
          <w:ilvl w:val="0"/>
          <w:numId w:val="8"/>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数据记录存储器的容量：不小于16G。</w:t>
      </w:r>
      <w:r>
        <w:rPr>
          <w:rFonts w:ascii="宋体" w:hAnsi="宋体" w:cs="宋体"/>
          <w:bCs/>
          <w:color w:val="000000"/>
          <w:sz w:val="24"/>
          <w:szCs w:val="24"/>
          <w:highlight w:val="none"/>
          <w:lang w:val="en-US" w:eastAsia="zh-CN"/>
        </w:rPr>
      </w:r>
      <w:r/>
    </w:p>
    <w:p>
      <w:pPr>
        <w:pStyle w:val="1304"/>
        <w:numPr>
          <w:ilvl w:val="0"/>
          <w:numId w:val="8"/>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操作界面：彩色触摸屏显示，具有中英文两种可切换的操作界面，具有远程操作软件可进行远程控制。</w:t>
      </w:r>
      <w:r>
        <w:rPr>
          <w:rFonts w:ascii="宋体" w:hAnsi="宋体" w:cs="宋体"/>
          <w:bCs/>
          <w:color w:val="000000"/>
          <w:sz w:val="24"/>
          <w:szCs w:val="24"/>
          <w:highlight w:val="none"/>
          <w:lang w:val="en-US" w:eastAsia="zh-CN"/>
        </w:rPr>
      </w:r>
      <w:r/>
    </w:p>
    <w:p>
      <w:pPr>
        <w:pStyle w:val="1304"/>
        <w:numPr>
          <w:ilvl w:val="0"/>
          <w:numId w:val="8"/>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外部连接端口：至少1个RS-232/485端口、至少3个USB端口、至少1个以太网端口，至少6个模拟电流输出。</w:t>
      </w:r>
      <w:r>
        <w:rPr>
          <w:rFonts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17）</w:t>
      </w:r>
      <w:r>
        <w:rPr>
          <w:rFonts w:hint="eastAsia" w:ascii="宋体" w:hAnsi="宋体" w:cs="宋体"/>
          <w:bCs/>
          <w:color w:val="000000"/>
          <w:sz w:val="24"/>
          <w:szCs w:val="24"/>
          <w:highlight w:val="none"/>
        </w:rPr>
        <w:t xml:space="preserve">通讯协议：</w:t>
      </w:r>
      <w:r>
        <w:rPr>
          <w:rFonts w:hint="eastAsia" w:ascii="宋体" w:hAnsi="宋体" w:cs="宋体"/>
          <w:bCs/>
          <w:color w:val="000000"/>
          <w:sz w:val="24"/>
          <w:szCs w:val="24"/>
          <w:highlight w:val="none"/>
          <w:lang w:eastAsia="zh-CN"/>
        </w:rPr>
        <w:t xml:space="preserve">支持</w:t>
      </w:r>
      <w:r>
        <w:rPr>
          <w:rFonts w:hint="eastAsia" w:ascii="宋体" w:hAnsi="宋体" w:cs="宋体"/>
          <w:bCs/>
          <w:color w:val="000000"/>
          <w:sz w:val="24"/>
          <w:szCs w:val="24"/>
          <w:highlight w:val="none"/>
          <w:lang w:val="en-US" w:eastAsia="zh-CN"/>
        </w:rPr>
        <w:t xml:space="preserve">Streaming、MODBUS、VCN协议</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2.6、PM10 分析仪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分析方法</w:t>
      </w:r>
      <w:r>
        <w:rPr>
          <w:rFonts w:hint="eastAsia" w:ascii="宋体" w:hAnsi="宋体" w:cs="宋体"/>
          <w:bCs/>
          <w:color w:val="000000"/>
          <w:sz w:val="24"/>
          <w:szCs w:val="24"/>
          <w:highlight w:val="none"/>
        </w:rPr>
        <w:t xml:space="preserve">：β射线吸收法</w:t>
      </w:r>
      <w:r>
        <w:rPr>
          <w:rFonts w:hint="eastAsia" w:ascii="宋体" w:hAnsi="宋体" w:cs="宋体"/>
          <w:bCs/>
          <w:color w:val="000000"/>
          <w:sz w:val="24"/>
          <w:szCs w:val="24"/>
          <w:highlight w:val="none"/>
          <w:lang w:eastAsia="zh-CN"/>
        </w:rPr>
        <w:t xml:space="preserve">加</w:t>
      </w:r>
      <w:r>
        <w:rPr>
          <w:rFonts w:hint="eastAsia" w:ascii="宋体" w:hAnsi="宋体" w:cs="宋体"/>
          <w:bCs/>
          <w:color w:val="000000"/>
          <w:sz w:val="24"/>
          <w:szCs w:val="24"/>
          <w:highlight w:val="none"/>
        </w:rPr>
        <w:t xml:space="preserve">光散射法</w:t>
      </w:r>
      <w:r>
        <w:rPr>
          <w:rFonts w:hint="eastAsia" w:ascii="宋体" w:hAnsi="宋体" w:cs="宋体"/>
          <w:bCs/>
          <w:color w:val="000000"/>
          <w:sz w:val="24"/>
          <w:szCs w:val="24"/>
          <w:highlight w:val="none"/>
          <w:lang w:eastAsia="zh-CN"/>
        </w:rPr>
        <w:t xml:space="preserve">双检测技术</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采用同位采样测量结构，采样和测量区域位于同一位置。</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提供环保部环境监测仪器质量监督监测中心出具的</w:t>
      </w:r>
      <w:r>
        <w:rPr>
          <w:rFonts w:hint="eastAsia" w:ascii="宋体" w:hAnsi="宋体" w:cs="宋体"/>
          <w:b/>
          <w:bCs w:val="0"/>
          <w:color w:val="000000"/>
          <w:sz w:val="24"/>
          <w:szCs w:val="24"/>
          <w:highlight w:val="none"/>
          <w:lang w:eastAsia="zh-CN"/>
        </w:rPr>
        <w:t xml:space="preserve">适用性检测报告作为证明材料）</w:t>
      </w:r>
      <w:r>
        <w:rPr>
          <w:rFonts w:hint="eastAsia" w:ascii="宋体" w:hAnsi="宋体" w:cs="宋体"/>
          <w:bCs/>
          <w:color w:val="000000"/>
          <w:sz w:val="24"/>
          <w:szCs w:val="24"/>
          <w:highlight w:val="none"/>
          <w:lang w:eastAsia="zh-CN"/>
        </w:rPr>
      </w:r>
      <w:r/>
    </w:p>
    <w:p>
      <w:pPr>
        <w:pStyle w:val="1304"/>
        <w:numPr>
          <w:ilvl w:val="0"/>
          <w:numId w:val="9"/>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检测器：闪烁光电倍增管。</w:t>
      </w:r>
      <w:r>
        <w:rPr>
          <w:rFonts w:hint="eastAsia" w:ascii="宋体" w:hAnsi="宋体" w:cs="宋体"/>
          <w:bCs/>
          <w:color w:val="000000"/>
          <w:sz w:val="24"/>
          <w:szCs w:val="24"/>
          <w:highlight w:val="none"/>
          <w:lang w:eastAsia="zh-CN"/>
        </w:rPr>
      </w:r>
      <w:r/>
    </w:p>
    <w:p>
      <w:pPr>
        <w:pStyle w:val="1304"/>
        <w:numPr>
          <w:ilvl w:val="0"/>
          <w:numId w:val="9"/>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测量范围：</w:t>
      </w:r>
      <w:r>
        <w:rPr>
          <w:rFonts w:hint="eastAsia" w:ascii="宋体" w:hAnsi="宋体" w:cs="宋体"/>
          <w:bCs/>
          <w:color w:val="000000"/>
          <w:sz w:val="24"/>
          <w:szCs w:val="24"/>
          <w:highlight w:val="none"/>
          <w:lang w:val="en-US" w:eastAsia="zh-CN"/>
        </w:rPr>
        <w:t xml:space="preserve">0~1000</w:t>
      </w:r>
      <w:r>
        <w:rPr>
          <w:rFonts w:hint="eastAsia" w:ascii="宋体" w:hAnsi="宋体" w:cs="宋体"/>
          <w:bCs/>
          <w:color w:val="000000"/>
          <w:sz w:val="24"/>
          <w:szCs w:val="24"/>
          <w:highlight w:val="none"/>
        </w:rPr>
        <w:t xml:space="preserve">μg/m3</w:t>
      </w:r>
      <w:r>
        <w:rPr>
          <w:rFonts w:hint="eastAsia" w:ascii="宋体" w:hAnsi="宋体" w:cs="宋体"/>
          <w:bCs/>
          <w:color w:val="000000"/>
          <w:sz w:val="24"/>
          <w:szCs w:val="24"/>
          <w:highlight w:val="none"/>
          <w:lang w:eastAsia="zh-CN"/>
        </w:rPr>
        <w:t xml:space="preserve">或</w:t>
      </w:r>
      <w:r>
        <w:rPr>
          <w:rFonts w:hint="eastAsia" w:ascii="宋体" w:hAnsi="宋体" w:cs="宋体"/>
          <w:bCs/>
          <w:color w:val="000000"/>
          <w:sz w:val="24"/>
          <w:szCs w:val="24"/>
          <w:highlight w:val="none"/>
          <w:lang w:val="en-US" w:eastAsia="zh-CN"/>
        </w:rPr>
        <w:t xml:space="preserve">0~10000</w:t>
      </w:r>
      <w:r>
        <w:rPr>
          <w:rFonts w:hint="eastAsia" w:ascii="宋体" w:hAnsi="宋体" w:cs="宋体"/>
          <w:bCs/>
          <w:color w:val="000000"/>
          <w:sz w:val="24"/>
          <w:szCs w:val="24"/>
          <w:highlight w:val="none"/>
        </w:rPr>
        <w:t xml:space="preserve">μg/m3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）最小显示单位：0.1μg/m3。</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5）采样流量：16.67 L/min。</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6）流量测试：平均流量偏差≤±0.5%；流量相对标准偏差≤0.5</w:t>
      </w:r>
      <w:r>
        <w:rPr>
          <w:rFonts w:hint="eastAsia" w:ascii="宋体" w:hAnsi="宋体" w:cs="宋体"/>
          <w:bCs/>
          <w:color w:val="000000"/>
          <w:sz w:val="24"/>
          <w:szCs w:val="24"/>
          <w:highlight w:val="none"/>
          <w:lang w:val="en-US" w:eastAsia="zh-CN"/>
        </w:rPr>
        <w:t xml:space="preserve">%；平均流量示值误差≤0.5%。</w:t>
      </w:r>
      <w:r>
        <w:rPr>
          <w:rFonts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eastAsia="zh-CN"/>
        </w:rPr>
        <w:t xml:space="preserve">采样滤纸带：每卷可采斑点数不少于</w:t>
      </w:r>
      <w:r>
        <w:rPr>
          <w:rFonts w:hint="eastAsia" w:ascii="宋体" w:hAnsi="宋体" w:cs="宋体"/>
          <w:bCs/>
          <w:color w:val="000000"/>
          <w:sz w:val="24"/>
          <w:szCs w:val="24"/>
          <w:highlight w:val="none"/>
          <w:lang w:val="en-US" w:eastAsia="zh-CN"/>
        </w:rPr>
        <w:t xml:space="preserve">1500个，支持超过1年使用时间。</w:t>
      </w:r>
      <w:r>
        <w:rPr>
          <w:rFonts w:hint="eastAsia"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检</w:t>
      </w:r>
      <w:r>
        <w:rPr>
          <w:rFonts w:hint="eastAsia" w:ascii="宋体" w:hAnsi="宋体" w:cs="宋体"/>
          <w:bCs/>
          <w:color w:val="000000"/>
          <w:sz w:val="24"/>
          <w:szCs w:val="24"/>
          <w:highlight w:val="none"/>
          <w:lang w:eastAsia="zh-CN"/>
        </w:rPr>
        <w:t xml:space="preserve">出</w:t>
      </w:r>
      <w:r>
        <w:rPr>
          <w:rFonts w:hint="eastAsia" w:ascii="宋体" w:hAnsi="宋体" w:cs="宋体"/>
          <w:bCs/>
          <w:color w:val="000000"/>
          <w:sz w:val="24"/>
          <w:szCs w:val="24"/>
          <w:highlight w:val="none"/>
        </w:rPr>
        <w:t xml:space="preserve">限：≤1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μg/m3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24h</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w:t>
      </w:r>
      <w:r>
        <w:rPr>
          <w:rFonts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校准膜</w:t>
      </w:r>
      <w:r>
        <w:rPr>
          <w:rFonts w:hint="eastAsia" w:ascii="宋体" w:hAnsi="宋体" w:cs="宋体"/>
          <w:bCs/>
          <w:color w:val="000000"/>
          <w:sz w:val="24"/>
          <w:szCs w:val="24"/>
          <w:highlight w:val="none"/>
          <w:lang w:eastAsia="zh-CN"/>
        </w:rPr>
        <w:t xml:space="preserve">示值误差：≤</w:t>
      </w:r>
      <w:r>
        <w:rPr>
          <w:rFonts w:hint="eastAsia" w:ascii="宋体" w:hAnsi="宋体" w:cs="宋体"/>
          <w:bCs/>
          <w:color w:val="000000"/>
          <w:sz w:val="24"/>
          <w:szCs w:val="24"/>
          <w:highlight w:val="none"/>
          <w:lang w:val="en-US" w:eastAsia="zh-CN"/>
        </w:rPr>
        <w:t xml:space="preserve">±1.2%。</w:t>
      </w:r>
      <w:r>
        <w:rPr>
          <w:rFonts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10）数据输出速率：每1秒。</w:t>
      </w:r>
      <w:r>
        <w:rPr>
          <w:rFonts w:hint="eastAsia" w:ascii="宋体" w:hAnsi="宋体" w:cs="宋体"/>
          <w:b/>
          <w:bCs w:val="0"/>
          <w:color w:val="000000"/>
          <w:sz w:val="24"/>
          <w:szCs w:val="24"/>
          <w:highlight w:val="none"/>
          <w:lang w:val="en-US" w:eastAsia="zh-CN"/>
        </w:rPr>
        <w:t xml:space="preserve">（提供仪器彩页或说明书描述作为证明材料）</w:t>
      </w:r>
      <w:r>
        <w:rPr>
          <w:rFonts w:ascii="宋体" w:hAnsi="宋体" w:eastAsia="宋体" w:cs="宋体"/>
          <w:b/>
          <w:bCs w:val="0"/>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11）长期平均值：60-3600秒。</w:t>
      </w:r>
      <w:r>
        <w:rPr>
          <w:rFonts w:hint="eastAsia" w:ascii="宋体" w:hAnsi="宋体" w:cs="宋体"/>
          <w:b/>
          <w:bCs w:val="0"/>
          <w:color w:val="000000"/>
          <w:sz w:val="24"/>
          <w:szCs w:val="24"/>
          <w:highlight w:val="none"/>
          <w:lang w:val="en-US" w:eastAsia="zh-CN"/>
        </w:rPr>
        <w:t xml:space="preserve">（提供仪器彩页或说明书描述作为证明材料）</w:t>
      </w:r>
      <w:r>
        <w:rPr>
          <w:rFonts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平行性：≤5%。</w:t>
      </w:r>
      <w:r>
        <w:rPr>
          <w:rFonts w:ascii="宋体" w:hAnsi="宋体" w:eastAsia="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13）数据记录存储器的容量：不小于16G。</w:t>
      </w:r>
      <w:r>
        <w:rPr>
          <w:rFonts w:hint="eastAsia"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14）操作界面：彩色触摸屏显示，具有中英文两种可切换的操作界面，具有远程操作软件可进行远程控制。</w:t>
      </w:r>
      <w:r>
        <w:rPr>
          <w:rFonts w:ascii="宋体" w:hAnsi="宋体" w:cs="宋体"/>
          <w:bCs/>
          <w:color w:val="000000"/>
          <w:sz w:val="24"/>
          <w:szCs w:val="24"/>
          <w:highlight w:val="none"/>
          <w:lang w:val="en-US" w:eastAsia="zh-CN"/>
        </w:rPr>
      </w:r>
      <w:r/>
    </w:p>
    <w:p>
      <w:pPr>
        <w:pStyle w:val="1304"/>
        <w:numPr>
          <w:ilvl w:val="0"/>
          <w:numId w:val="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15）外部连接端口：至少1个RS-232/485端口、至少3个USB端口、至少1个以太网端口，至少6个模拟电流输出。</w:t>
      </w:r>
      <w:r>
        <w:rPr>
          <w:rFonts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16）</w:t>
      </w:r>
      <w:r>
        <w:rPr>
          <w:rFonts w:hint="eastAsia" w:ascii="宋体" w:hAnsi="宋体" w:cs="宋体"/>
          <w:bCs/>
          <w:color w:val="000000"/>
          <w:sz w:val="24"/>
          <w:szCs w:val="24"/>
          <w:highlight w:val="none"/>
        </w:rPr>
        <w:t xml:space="preserve">通讯协议：</w:t>
      </w:r>
      <w:r>
        <w:rPr>
          <w:rFonts w:hint="eastAsia" w:ascii="宋体" w:hAnsi="宋体" w:cs="宋体"/>
          <w:bCs/>
          <w:color w:val="000000"/>
          <w:sz w:val="24"/>
          <w:szCs w:val="24"/>
          <w:highlight w:val="none"/>
          <w:lang w:eastAsia="zh-CN"/>
        </w:rPr>
        <w:t xml:space="preserve">支持</w:t>
      </w:r>
      <w:r>
        <w:rPr>
          <w:rFonts w:hint="eastAsia" w:ascii="宋体" w:hAnsi="宋体" w:cs="宋体"/>
          <w:bCs/>
          <w:color w:val="000000"/>
          <w:sz w:val="24"/>
          <w:szCs w:val="24"/>
          <w:highlight w:val="none"/>
          <w:lang w:val="en-US" w:eastAsia="zh-CN"/>
        </w:rPr>
        <w:t xml:space="preserve">Streaming、MODBUS、VCN协议</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2.7、动态校准仪</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1）流量计准确度：±1%满量程； </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2）质量流量测量重现性：±1%满量程； </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3）质量流量测量精密度：读数的±2%或者满量程的1%；</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4）稀释比率：1:100～1:1000可变（标准）；</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5）稀释气的质量流量控制器：0～10L/min（可扩展）；</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6）标准气体源的质量流量控制器：0～100 mL/min； </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7）臭氧浓度误差：±1%；</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8）臭氧发生范围：0.1-6ppm（5SLM）；</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9）质量流量控制器最佳工作范围能够满足低浓度标气需要；</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10）自动计算稀释气流量或稀释比；</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11）标气接口：3个或以上；</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12）具备中文界面，菜单结构，大屏幕液晶显示，操作方便；</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13）仪器可在流量、压力等参数不正常时自动产生报警；</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14）能依据外接标准气体种类提供精确浓度的标准气体输出，完成大气自动监测分析仪器的零点、跨度、精密度及多点校准工作；</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15）具备RS232/RS485标准信号输出接口（不少于2个），将动态校准仪的动作传输至工控机；</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16）动态气体校准仪可以提供浓度精确的用户需要的标准气体，各种浓度的气体可以用于气体分析仪器的零点校准、跨点校准、精度检查、多点检查和线性审核等。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2.8、零气发生器</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1）压力：10～30 psi；</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2）零气的纯度：SO2≤0.5ppb；NO≤0.5ppb；NO2≤0.5ppb；CO≤0.02ppm；O3≤0.5ppb；</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3）功能：含CH剔除器，内置加热炉；</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4）输出流量：输出压力200kpa时大于10L/min；</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5）输出的零气干燥、清洁、流量稳定；</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6）输出的零气流量最大可达20L/min，输出压力可调节；</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7）带有仪器故障报警功能；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8）日常维护量少；</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9）可以长期连续安全可靠地运行；</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10）外置空气压缩机在无人值守的情况下可以实现自动排水功能；</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11）结露点：＜-15℃。</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2.9、气象五参数</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1）原理方法：电磁感应、数字显示；</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2）温度：-40～+60℃，精度±0.5℃；</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3）湿度：0～100% RH，精度±3%RH；</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4）气压：800～1100百帕，精度±1百帕（或适用于当地气压条件），分辨率：0.1 hpa；</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5）风向：0～360°，精度±5°，分辨率：1°</w:t>
      </w:r>
      <w:r>
        <w:rPr>
          <w:rFonts w:hint="eastAsia" w:ascii="宋体" w:hAnsi="宋体" w:cs="宋体"/>
          <w:bCs/>
          <w:color w:val="000000"/>
          <w:sz w:val="24"/>
          <w:szCs w:val="24"/>
          <w:highlight w:val="none"/>
          <w:lang w:val="en-US" w:eastAsia="zh-CN"/>
        </w:rPr>
        <w:t xml:space="preserve">S</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6）风速：0～20 m/s，精度±1 m/s，分辨率：±0.1m/s；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7）气象塔座：配置专用气象塔和气象杆，其垂直高度应＞3米（根据监测平台离地面高度），具有良好的抗酸雨、抗腐蚀性，不漏电漏雨，安装相应的气象传感器后，能承受10级以上的风力。</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2.10、机柜</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1）配备立式机柜，散热性能良好，可容纳本次采购的NOx、CO、SO2、O3、PM10、PM2.5、零气发生器、校准仪、数采仪等仪器必要时也需要包括相应的其他配套设备；</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2）使用机柜情况下，机柜采用航空级导轨抽拉连接装载仪器，方便拆卸仪器与清洗仪器内部管路，机柜后侧有纵向导轨汇总各仪器的电缆线路；</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3）机柜有接地孔线，所有的连接管线、接头等应采用防腐材质，不与被测污染物发生化学反应；</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2.11UPS</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独立防浪涌保护插座：保护PC的同时对打印机、路由器、扫描仪、Modem等相关外设提供电源防浪涌保护。</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至少保证整个站房包括仪器设备（不含空调）的4小时的用电。</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自动开机：市电中断，UPS在电池模式下放电至关机；当市电恢复时，UPS可自动开机，方便无人值守情况下的电源管理。</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开机自检功能：开机时，能自动模拟断电状况，对逆变器、电池进行自检，并做出准确、可靠的判断，全面提升负载的安全性。</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面板简洁，操作方便。具备直流开机功能，超静音设计。</w:t>
      </w:r>
      <w:r>
        <w:rPr>
          <w:rFonts w:hint="eastAsia" w:ascii="宋体" w:hAnsi="宋体" w:cs="宋体"/>
          <w:bCs/>
          <w:color w:val="000000"/>
          <w:sz w:val="24"/>
          <w:szCs w:val="24"/>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143"/>
        <w:gridCol w:w="2166"/>
        <w:gridCol w:w="4589"/>
      </w:tblGrid>
      <w:tr>
        <w:trPr>
          <w:trHeight w:val="340"/>
        </w:trPr>
        <w:tc>
          <w:tcPr>
            <w:gridSpan w:val="2"/>
            <w:tcBorders>
              <w:top w:val="single" w:color="000000" w:sz="4" w:space="0"/>
              <w:left w:val="single" w:color="000000" w:sz="4" w:space="0"/>
              <w:bottom w:val="single" w:color="000000" w:sz="4" w:space="0"/>
              <w:right w:val="single" w:color="000000" w:sz="4" w:space="0"/>
            </w:tcBorders>
            <w:tcW w:w="4309"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额定容量</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≥6KVA/5.4KW</w:t>
            </w:r>
            <w:r>
              <w:rPr>
                <w:rFonts w:hint="eastAsia" w:ascii="宋体" w:hAnsi="宋体" w:cs="宋体"/>
                <w:bCs/>
                <w:color w:val="000000"/>
                <w:sz w:val="24"/>
                <w:szCs w:val="24"/>
                <w:highlight w:val="none"/>
                <w:lang w:val="zh-CN"/>
              </w:rPr>
            </w:r>
            <w:r/>
          </w:p>
        </w:tc>
      </w:tr>
      <w:tr>
        <w:trPr>
          <w:cantSplit/>
          <w:trHeight w:val="402"/>
        </w:trPr>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输入</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电压</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176-276VAC</w:t>
            </w:r>
            <w:r>
              <w:rPr>
                <w:rFonts w:hint="eastAsia" w:ascii="宋体" w:hAnsi="宋体" w:cs="宋体"/>
                <w:bCs/>
                <w:color w:val="000000"/>
                <w:sz w:val="24"/>
                <w:szCs w:val="24"/>
                <w:highlight w:val="none"/>
                <w:lang w:val="zh-CN"/>
              </w:rPr>
            </w:r>
            <w:r/>
          </w:p>
        </w:tc>
      </w:tr>
      <w:tr>
        <w:trPr>
          <w:cantSplit/>
          <w:trHeight w:val="267"/>
        </w:trPr>
        <w:tc>
          <w:tcPr>
            <w:tcBorders>
              <w:top w:val="single" w:color="000000" w:sz="4" w:space="0"/>
              <w:left w:val="single" w:color="000000" w:sz="4" w:space="0"/>
              <w:bottom w:val="single" w:color="000000" w:sz="4" w:space="0"/>
              <w:right w:val="single" w:color="000000" w:sz="4" w:space="0"/>
            </w:tcBorders>
            <w:tcW w:w="2143" w:type="dxa"/>
            <w:vAlign w:val="center"/>
            <w:vMerge w:val="continue"/>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频率</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(46~54)Hz</w:t>
            </w:r>
            <w:r>
              <w:rPr>
                <w:rFonts w:hint="eastAsia" w:ascii="宋体" w:hAnsi="宋体" w:cs="宋体"/>
                <w:bCs/>
                <w:color w:val="000000"/>
                <w:sz w:val="24"/>
                <w:szCs w:val="24"/>
                <w:highlight w:val="none"/>
                <w:lang w:val="zh-CN"/>
              </w:rPr>
            </w:r>
            <w:r/>
          </w:p>
        </w:tc>
      </w:tr>
      <w:tr>
        <w:trPr>
          <w:cantSplit/>
          <w:trHeight w:val="356"/>
        </w:trPr>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输出</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电压</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220（1±1％以内）（电池模式下）</w:t>
            </w:r>
            <w:r>
              <w:rPr>
                <w:rFonts w:hint="eastAsia" w:ascii="宋体" w:hAnsi="宋体" w:cs="宋体"/>
                <w:bCs/>
                <w:color w:val="000000"/>
                <w:sz w:val="24"/>
                <w:szCs w:val="24"/>
                <w:highlight w:val="none"/>
                <w:lang w:val="zh-CN"/>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2143" w:type="dxa"/>
            <w:vAlign w:val="center"/>
            <w:vMerge w:val="continue"/>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频率</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50×（1±0.1%）Hz（电池模式下）</w:t>
            </w:r>
            <w:r>
              <w:rPr>
                <w:rFonts w:hint="eastAsia" w:ascii="宋体" w:hAnsi="宋体" w:cs="宋体"/>
                <w:bCs/>
                <w:color w:val="000000"/>
                <w:sz w:val="24"/>
                <w:szCs w:val="24"/>
                <w:highlight w:val="none"/>
                <w:lang w:val="zh-CN"/>
              </w:rPr>
            </w:r>
            <w:r/>
          </w:p>
        </w:tc>
      </w:tr>
      <w:tr>
        <w:trPr>
          <w:cantSplit/>
          <w:trHeight w:val="268"/>
        </w:trPr>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电池</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备用时间</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支持停电后大气自动站系统（不含空调）整体运行4小时</w:t>
            </w:r>
            <w:r>
              <w:rPr>
                <w:rFonts w:hint="eastAsia" w:ascii="宋体" w:hAnsi="宋体" w:cs="宋体"/>
                <w:bCs/>
                <w:color w:val="000000"/>
                <w:sz w:val="24"/>
                <w:szCs w:val="24"/>
                <w:highlight w:val="none"/>
                <w:lang w:val="zh-CN"/>
              </w:rPr>
            </w:r>
            <w:r/>
          </w:p>
        </w:tc>
      </w:tr>
      <w:tr>
        <w:trPr>
          <w:cantSplit/>
          <w:trHeight w:val="372"/>
        </w:trPr>
        <w:tc>
          <w:tcPr>
            <w:tcBorders>
              <w:top w:val="single" w:color="000000" w:sz="4" w:space="0"/>
              <w:left w:val="single" w:color="000000" w:sz="4" w:space="0"/>
              <w:bottom w:val="single" w:color="000000" w:sz="4" w:space="0"/>
              <w:right w:val="single" w:color="000000" w:sz="4" w:space="0"/>
            </w:tcBorders>
            <w:tcW w:w="2143" w:type="dxa"/>
            <w:vAlign w:val="center"/>
            <w:vMerge w:val="continue"/>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充电时间</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&lt;16小时</w:t>
            </w:r>
            <w:r>
              <w:rPr>
                <w:rFonts w:hint="eastAsia" w:ascii="宋体" w:hAnsi="宋体" w:cs="宋体"/>
                <w:bCs/>
                <w:color w:val="000000"/>
                <w:sz w:val="24"/>
                <w:szCs w:val="24"/>
                <w:highlight w:val="none"/>
                <w:lang w:val="zh-CN"/>
              </w:rPr>
            </w:r>
            <w:r/>
          </w:p>
        </w:tc>
      </w:tr>
      <w:tr>
        <w:trPr>
          <w:trHeight w:val="406"/>
        </w:trPr>
        <w:tc>
          <w:tcPr>
            <w:gridSpan w:val="2"/>
            <w:tcBorders>
              <w:top w:val="single" w:color="000000" w:sz="4" w:space="0"/>
              <w:left w:val="single" w:color="000000" w:sz="4" w:space="0"/>
              <w:bottom w:val="single" w:color="000000" w:sz="4" w:space="0"/>
              <w:right w:val="single" w:color="000000" w:sz="4" w:space="0"/>
            </w:tcBorders>
            <w:tcW w:w="4309"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操作环境</w:t>
            </w:r>
            <w:r>
              <w:rPr>
                <w:rFonts w:hint="eastAsia" w:ascii="宋体" w:hAnsi="宋体" w:cs="宋体"/>
                <w:bCs/>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1304"/>
              <w:jc w:val="center"/>
              <w:spacing w:line="360" w:lineRule="auto"/>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温度0℃～40℃，湿度20％～90％</w:t>
            </w:r>
            <w:r>
              <w:rPr>
                <w:rFonts w:hint="eastAsia" w:ascii="宋体" w:hAnsi="宋体" w:cs="宋体"/>
                <w:bCs/>
                <w:color w:val="000000"/>
                <w:sz w:val="24"/>
                <w:szCs w:val="24"/>
                <w:highlight w:val="none"/>
                <w:lang w:val="zh-CN"/>
              </w:rPr>
            </w:r>
            <w:r/>
          </w:p>
        </w:tc>
      </w:tr>
    </w:tbl>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2.12稳压电源</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能够满足SO2、NO-NO2-NOx、CO、O3、PM10、PM2.5、零气发生器、校准仪、工控机等设备需求，确保上述仪器设备长期稳定运行，不受感应电影响跳变电压，稳压电源可负载5KW以上。</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2.13工控机及软件 </w:t>
      </w:r>
      <w:r>
        <w:rPr>
          <w:rFonts w:hint="eastAsia" w:ascii="宋体" w:hAnsi="宋体" w:cs="宋体"/>
          <w:bCs/>
          <w:color w:val="000000"/>
          <w:sz w:val="24"/>
          <w:szCs w:val="24"/>
          <w:highlight w:val="none"/>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机箱：工业级4U机箱；</w:t>
      </w:r>
      <w:r>
        <w:rPr>
          <w:rFonts w:hint="eastAsia"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CPU：IntelI5-2400，四核，主频不低于3.1GHz；</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硬盘：硬盘容量不低于1TB;</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内存：不低于8G；</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端口：至少具备8个COM口，2个RJ45网口；</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电源：标准PS2ATX工业电源；</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操作系统：预装正版Windows7或以上中文版；</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数据库软件：预装正版MSSQLServer2008标准版；</w:t>
      </w:r>
      <w:r>
        <w:rPr>
          <w:rFonts w:ascii="宋体" w:hAnsi="宋体" w:cs="宋体"/>
          <w:bCs/>
          <w:color w:val="000000"/>
          <w:sz w:val="24"/>
          <w:szCs w:val="24"/>
          <w:highlight w:val="none"/>
          <w:lang w:val="en-US" w:eastAsia="zh-CN"/>
        </w:rPr>
      </w:r>
      <w:r/>
    </w:p>
    <w:p>
      <w:pPr>
        <w:pStyle w:val="1304"/>
        <w:numPr>
          <w:ilvl w:val="0"/>
          <w:numId w:val="10"/>
        </w:numPr>
        <w:ind w:firstLine="480"/>
        <w:keepLines w:val="0"/>
        <w:keepNext w:val="0"/>
        <w:pageBreakBefore w:val="0"/>
        <w:spacing w:line="360" w:lineRule="auto"/>
        <w:widowControl w:val="off"/>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根据采购人要求，监测数据须实现与相关监测监控平台能够无缝连接上传，确保数据稳定传输。</w:t>
      </w:r>
      <w:r>
        <w:rPr>
          <w:rFonts w:ascii="宋体" w:hAnsi="宋体" w:cs="宋体"/>
          <w:bCs/>
          <w:color w:val="000000"/>
          <w:sz w:val="24"/>
          <w:szCs w:val="24"/>
          <w:highlight w:val="none"/>
          <w:lang w:val="en-US"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2.14采样系统</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1）采样泵流量：&gt;50L/min；选用优质轴流风机；</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2）采集可吸入尘样品的管道内壁应光滑；</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3）采样总管内衬为特氟龙材料；</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4）采样管应接近采气管的中心；</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5)采气管入口应设有防雨伞状帽和纱网，应能防止雨水和粗大尘粒随空气一起被收入。</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6）采样总管为多支路防水采样管路，材料应选用不与被监测污染物发生化学反应和释放有干扰物质的材料；总管内径选择在1.5~</w:t>
      </w:r>
      <w:r>
        <w:rPr>
          <w:rFonts w:hint="eastAsia" w:ascii="宋体" w:hAnsi="宋体" w:cs="宋体"/>
          <w:bCs/>
          <w:color w:val="000000"/>
          <w:sz w:val="24"/>
          <w:szCs w:val="24"/>
          <w:highlight w:val="none"/>
          <w:lang w:val="en-US" w:eastAsia="zh-CN"/>
        </w:rPr>
        <w:t xml:space="preserve">15</w:t>
      </w:r>
      <w:r>
        <w:rPr>
          <w:rFonts w:hint="eastAsia" w:ascii="宋体" w:hAnsi="宋体" w:cs="宋体"/>
          <w:bCs/>
          <w:color w:val="000000"/>
          <w:sz w:val="24"/>
          <w:szCs w:val="24"/>
          <w:highlight w:val="none"/>
        </w:rPr>
        <w:t xml:space="preserve">cm之间，采样总管内的气流应保持层流状态，气体在总管内的滞留时间小于20秒；</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7）支管数量满足所有气态项目的需要；</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8）采样系统密封，与柜体联接具有法兰或其他型式多级防渗水连接；与柜体外联接的法兰必须为耐腐蚀和坚固不锈钢；</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9）采样系统主管路为可拆卸式，在不影响柜体外部法兰连接和仪器端连接情况下方便拆洗维护。</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2.15VPN</w:t>
      </w:r>
      <w:r>
        <w:rPr>
          <w:rFonts w:hint="eastAsia" w:ascii="宋体" w:hAnsi="宋体" w:cs="宋体"/>
          <w:bCs/>
          <w:color w:val="000000"/>
          <w:sz w:val="24"/>
          <w:szCs w:val="24"/>
          <w:highlight w:val="none"/>
        </w:rPr>
      </w:r>
      <w:r/>
    </w:p>
    <w:tbl>
      <w:tblPr>
        <w:tblW w:w="4998"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726"/>
        <w:gridCol w:w="5140"/>
      </w:tblGrid>
      <w:tr>
        <w:trPr/>
        <w:tc>
          <w:tcPr>
            <w:tcW w:w="579" w:type="dxa"/>
            <w:vAlign w:val="center"/>
            <w:textDirection w:val="lrTb"/>
            <w:noWrap w:val="false"/>
          </w:tcPr>
          <w:p>
            <w:pPr>
              <w:pStyle w:val="1304"/>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序号</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项目</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性能指标</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网络接口</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3个千兆电口</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防火墙吞吐量</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≥25Mbps</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最大并发会话数</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≥7000</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IPSecVPN加密速度</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≥2.5Mbps</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IPSecVPN隧道数</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≥15</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产品尺寸</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标准1U架构</w:t>
            </w:r>
            <w:r>
              <w:rPr>
                <w:rFonts w:hint="eastAsia" w:ascii="宋体" w:hAnsi="宋体" w:cs="宋体"/>
                <w:bCs/>
                <w:color w:val="000000"/>
                <w:sz w:val="24"/>
                <w:szCs w:val="24"/>
                <w:highlight w:val="none"/>
                <w:lang w:val="zh-CN"/>
              </w:rPr>
            </w:r>
            <w:r/>
          </w:p>
        </w:tc>
      </w:tr>
      <w:tr>
        <w:trPr/>
        <w:tc>
          <w:tcPr>
            <w:tcW w:w="579"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7</w:t>
            </w:r>
            <w:r>
              <w:rPr>
                <w:rFonts w:hint="eastAsia" w:ascii="宋体" w:hAnsi="宋体" w:cs="宋体"/>
                <w:bCs/>
                <w:color w:val="000000"/>
                <w:sz w:val="24"/>
                <w:szCs w:val="24"/>
                <w:highlight w:val="none"/>
                <w:lang w:val="zh-CN"/>
              </w:rPr>
            </w:r>
            <w:r/>
          </w:p>
        </w:tc>
        <w:tc>
          <w:tcPr>
            <w:tcW w:w="1532"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电源</w:t>
            </w:r>
            <w:r>
              <w:rPr>
                <w:rFonts w:hint="eastAsia" w:ascii="宋体" w:hAnsi="宋体" w:cs="宋体"/>
                <w:bCs/>
                <w:color w:val="000000"/>
                <w:sz w:val="24"/>
                <w:szCs w:val="24"/>
                <w:highlight w:val="none"/>
                <w:lang w:val="zh-CN"/>
              </w:rPr>
            </w:r>
            <w:r/>
          </w:p>
        </w:tc>
        <w:tc>
          <w:tcPr>
            <w:tcW w:w="2888" w:type="dxa"/>
            <w:vAlign w:val="center"/>
            <w:textDirection w:val="lrTb"/>
            <w:noWrap w:val="false"/>
          </w:tcPr>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单电源</w:t>
            </w:r>
            <w:r>
              <w:rPr>
                <w:rFonts w:hint="eastAsia" w:ascii="宋体" w:hAnsi="宋体" w:cs="宋体"/>
                <w:bCs/>
                <w:color w:val="000000"/>
                <w:sz w:val="24"/>
                <w:szCs w:val="24"/>
                <w:highlight w:val="none"/>
                <w:lang w:val="zh-CN"/>
              </w:rPr>
            </w:r>
            <w:r/>
          </w:p>
        </w:tc>
      </w:tr>
    </w:tbl>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2.16标气</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配备国家一级标准物质（一套包含SO2、NO、CO三种钢瓶气体），8L。</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1）SO2标准钢瓶气，浓度50ppm左右； </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2）NO标准钢瓶气，浓度50ppm左右； </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3）CO标准钢瓶气，浓度2000ppm左右。</w:t>
      </w:r>
      <w:r>
        <w:rPr>
          <w:rFonts w:hint="eastAsia" w:ascii="宋体" w:hAnsi="宋体" w:cs="宋体"/>
          <w:bCs/>
          <w:color w:val="000000"/>
          <w:sz w:val="24"/>
          <w:szCs w:val="24"/>
          <w:highlight w:val="none"/>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配套减压阀为不锈钢材质，内衬材料为特氟隆（一套包含对应三种钢瓶气体的三个减压阀）。</w:t>
      </w:r>
      <w:r>
        <w:rPr>
          <w:rFonts w:hint="eastAsia" w:ascii="宋体" w:hAnsi="宋体" w:cs="宋体"/>
          <w:bCs/>
          <w:color w:val="000000"/>
          <w:sz w:val="24"/>
          <w:szCs w:val="24"/>
          <w:highlight w:val="none"/>
        </w:rPr>
      </w:r>
      <w:r/>
    </w:p>
    <w:p>
      <w:pPr>
        <w:pStyle w:val="1304"/>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四</w:t>
      </w:r>
      <w:r>
        <w:rPr>
          <w:rFonts w:hint="eastAsia" w:ascii="宋体" w:hAnsi="宋体" w:cs="宋体"/>
          <w:bCs/>
          <w:color w:val="000000"/>
          <w:sz w:val="24"/>
          <w:szCs w:val="24"/>
          <w:highlight w:val="none"/>
        </w:rPr>
        <w:t xml:space="preserve">、基本服务要求</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1、所供的货物是全新、未使用过的产品，材质、规格型号、技术参数必须遵守国家颁布标准和有关规定。</w:t>
      </w:r>
      <w:r>
        <w:rPr>
          <w:rFonts w:hint="eastAsia" w:ascii="宋体" w:hAnsi="宋体" w:cs="宋体"/>
          <w:bCs/>
          <w:color w:val="000000"/>
          <w:sz w:val="24"/>
          <w:szCs w:val="24"/>
          <w:highlight w:val="none"/>
          <w:lang w:eastAsia="zh-CN"/>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2、成交人应免费为采购人提供操作培训，包括但不限于货物的基本性能、保养与管理、常见故障的排除、紧急情况的处理等并</w:t>
      </w:r>
      <w:r>
        <w:rPr>
          <w:rFonts w:hint="eastAsia" w:ascii="宋体" w:hAnsi="宋体" w:cs="宋体"/>
          <w:bCs/>
          <w:color w:val="000000"/>
          <w:sz w:val="24"/>
          <w:szCs w:val="24"/>
          <w:highlight w:val="none"/>
        </w:rPr>
        <w:t xml:space="preserve">提供培训手册。</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3、整机最低质保</w:t>
      </w:r>
      <w:r>
        <w:rPr>
          <w:rFonts w:hint="eastAsia" w:ascii="宋体" w:hAnsi="宋体" w:cs="宋体"/>
          <w:bCs/>
          <w:color w:val="000000"/>
          <w:sz w:val="24"/>
          <w:szCs w:val="24"/>
          <w:highlight w:val="none"/>
          <w:lang w:val="en-US" w:eastAsia="zh-CN"/>
        </w:rPr>
        <w:t xml:space="preserve">期限：1年，设备的免费质保期从设备安装调试后无质量问题能够正常使用，双方签订验收报告之日起计算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质保期内若仪器出现故障，免收任何费用。</w:t>
      </w:r>
      <w:r>
        <w:rPr>
          <w:rFonts w:hint="eastAsia" w:ascii="宋体" w:hAnsi="宋体" w:cs="宋体"/>
          <w:bCs/>
          <w:color w:val="000000"/>
          <w:sz w:val="24"/>
          <w:szCs w:val="24"/>
          <w:highlight w:val="none"/>
          <w:lang w:eastAsia="zh-CN"/>
        </w:rPr>
      </w:r>
      <w:r/>
    </w:p>
    <w:p>
      <w:pPr>
        <w:pStyle w:val="1304"/>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4、</w:t>
      </w:r>
      <w:r>
        <w:rPr>
          <w:rFonts w:hint="eastAsia" w:ascii="宋体" w:hAnsi="宋体"/>
          <w:color w:val="000000"/>
          <w:sz w:val="24"/>
          <w:szCs w:val="24"/>
          <w:highlight w:val="none"/>
          <w:lang w:eastAsia="zh-CN"/>
        </w:rPr>
        <w:t xml:space="preserve">本项目建立完成后，投标单位还需提供包括但不限于</w:t>
      </w:r>
      <w:r>
        <w:rPr>
          <w:rFonts w:hint="eastAsia" w:ascii="宋体" w:hAnsi="宋体" w:cs="宋体"/>
          <w:bCs/>
          <w:color w:val="000000"/>
          <w:sz w:val="24"/>
          <w:szCs w:val="24"/>
          <w:highlight w:val="none"/>
        </w:rPr>
        <w:t xml:space="preserve">防雷系统、文化建设、灭火器等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障碍处理要求：质保期内，投标人接到保修请求，应在2小时内响应，4小时内维修人员到达现场，必要时应向采购人提供应急备用设备。</w:t>
      </w:r>
      <w:r>
        <w:rPr>
          <w:rFonts w:hint="eastAsia" w:ascii="宋体" w:hAnsi="宋体" w:cs="宋体"/>
          <w:bCs/>
          <w:color w:val="000000"/>
          <w:sz w:val="24"/>
          <w:szCs w:val="24"/>
          <w:highlight w:val="none"/>
          <w:lang w:eastAsia="zh-CN"/>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所供的货物是全新、未使用过的产品，材质、规格型号、技术参数必须遵守国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厂家有同系列仪器软件升级，甲方享有免费升级的权力。</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7、投标人需根据采购需求、评分办法提供相应的实施方案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培训方案</w:t>
      </w:r>
      <w:r>
        <w:rPr>
          <w:rFonts w:hint="eastAsia" w:ascii="宋体" w:hAnsi="宋体" w:cs="宋体"/>
          <w:bCs/>
          <w:color w:val="000000"/>
          <w:sz w:val="24"/>
          <w:szCs w:val="24"/>
          <w:highlight w:val="none"/>
          <w:lang w:val="zh-CN" w:eastAsia="zh-CN"/>
        </w:rPr>
        <w:t xml:space="preserve">、质保服务方案</w:t>
      </w:r>
      <w:r>
        <w:rPr>
          <w:rFonts w:hint="eastAsia" w:ascii="宋体" w:hAnsi="宋体" w:cs="宋体"/>
          <w:bCs/>
          <w:color w:val="000000"/>
          <w:sz w:val="24"/>
          <w:szCs w:val="24"/>
          <w:highlight w:val="none"/>
          <w:lang w:val="en-US" w:eastAsia="zh-CN"/>
        </w:rPr>
        <w:t xml:space="preserve">、应急预案、质控方案、售后服务等。具体详见评分办法。</w:t>
      </w:r>
      <w:r>
        <w:rPr>
          <w:rFonts w:hint="eastAsia" w:ascii="宋体" w:hAnsi="宋体" w:cs="宋体"/>
          <w:bCs/>
          <w:color w:val="000000"/>
          <w:sz w:val="24"/>
          <w:szCs w:val="24"/>
          <w:highlight w:val="none"/>
          <w:lang w:val="en-US" w:eastAsia="zh-CN"/>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投标人所提供的货物开箱后，如采购人发现有任何问题(如外观有损伤)投标人必须立即以同样货号的产品在采购人商定的时间内更换，确保其使用。</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10、仪器调试运行手工比对服务：按照《环境空气颗粒物（PM1</w:t>
      </w:r>
      <w:r>
        <w:rPr>
          <w:rFonts w:hint="eastAsia" w:ascii="宋体" w:hAnsi="宋体" w:cs="宋体"/>
          <w:bCs/>
          <w:color w:val="000000"/>
          <w:sz w:val="24"/>
          <w:szCs w:val="24"/>
          <w:highlight w:val="none"/>
          <w:lang w:val="en-US" w:eastAsia="zh-CN"/>
        </w:rPr>
        <w:t xml:space="preserve">0和PM2.5）连续监测系统安装和验收技术规范》（HJ655-2013）、《环境空气颗粒物（PM10和 PM2.5）连续自动监测系统技术要求及检测方法》（HJ653-2021）、《环境空气气态污染物（SO2、NO2、O3、CO）连续自动监测系统安装验收技术规范》（HJ193-2013）的要求进行参比方法测试，并出具符合资质要求的相关报告。负责完成PM2.5、PM10颗粒物监测仪、气态污染等调试运行比对工作，保证仪器设备能够通过江苏省环境监测中心的比对工作，设备能够顺利进入扬中第一中学和扬中监测站省控点使用。</w:t>
      </w:r>
      <w:r>
        <w:rPr>
          <w:rFonts w:hint="eastAsia" w:ascii="宋体" w:hAnsi="宋体" w:cs="宋体"/>
          <w:bCs/>
          <w:color w:val="000000"/>
          <w:sz w:val="24"/>
          <w:szCs w:val="24"/>
          <w:highlight w:val="none"/>
          <w:lang w:val="en-US" w:eastAsia="zh-CN"/>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验收要求及标准</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.1项目完成后，中标人须负责所涉及一切验收产生的工作费用(如验收评审专家费等)，直至货物验收合格，交付采购人之日为止。产品必须符合相关现行标准。</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.2 中标单位提供的货物必须符合我国最新颁布的与之相关的技术规范与标准，同时须满足招标文件中所列全部规格、技术条件及要求和中标单位承诺的其它指标。在交付采购人使用之前应通过采购人的验收。</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.3 验收包括:数量、外观、质量、产品合格证、装箱单及包装。所有产品无瑕疵和缺陷，质量为合格品，同时有明确的制造厂商。中标人对质量问题负责包退、包换和包修，因此发生的费用由中标人负责。</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.4 到货验收包括但不限于以下内容:数量、外观、质量、随机备件备品、随机资料及包装完整无破损。</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5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成交人在履行合同过程中，一切事故的责任由成交单位自行承担。</w:t>
      </w:r>
      <w:r>
        <w:rPr>
          <w:rFonts w:hint="eastAsia" w:ascii="宋体" w:hAnsi="宋体" w:cs="宋体"/>
          <w:bCs/>
          <w:color w:val="000000"/>
          <w:sz w:val="24"/>
          <w:szCs w:val="24"/>
          <w:highlight w:val="none"/>
        </w:rPr>
      </w:r>
      <w:r/>
    </w:p>
    <w:p>
      <w:pPr>
        <w:pStyle w:val="1304"/>
        <w:ind w:firstLine="480"/>
        <w:spacing w:line="360" w:lineRule="auto"/>
        <w:tabs>
          <w:tab w:val="center" w:pos="4153" w:leader="none"/>
          <w:tab w:val="right" w:pos="8306" w:leader="none"/>
        </w:tabs>
        <w:rPr>
          <w:rFonts w:hint="eastAsia" w:ascii="宋体" w:hAnsi="宋体" w:cs="宋体"/>
          <w:bCs/>
          <w:color w:val="000000"/>
          <w:sz w:val="24"/>
          <w:szCs w:val="24"/>
          <w:highlight w:val="none"/>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pPr>
      <w:r>
        <w:rPr>
          <w:rFonts w:hint="eastAsia" w:ascii="宋体" w:hAnsi="宋体" w:cs="宋体"/>
          <w:bCs/>
          <w:color w:val="000000"/>
          <w:sz w:val="24"/>
          <w:szCs w:val="24"/>
          <w:highlight w:val="none"/>
        </w:rPr>
      </w:r>
      <w:r/>
    </w:p>
    <w:p>
      <w:pPr>
        <w:pStyle w:val="1226"/>
        <w:spacing w:before="145" w:after="145" w:line="440" w:lineRule="exact"/>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22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328"/>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22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22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需按照采购文件的要求提供相应的《中小企业声明函》。</w:t>
      </w:r>
      <w:r>
        <w:rPr>
          <w:rFonts w:hint="eastAsia" w:ascii="宋体" w:hAnsi="宋体"/>
          <w:color w:val="000000"/>
          <w:sz w:val="24"/>
          <w:szCs w:val="24"/>
          <w:highlight w:val="none"/>
        </w:rPr>
      </w:r>
      <w:r/>
    </w:p>
    <w:p>
      <w:pPr>
        <w:pStyle w:val="122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22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2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22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投标文件格式”的“附件</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225"/>
        <w:ind w:firstLine="480"/>
        <w:jc w:val="left"/>
        <w:spacing w:line="440" w:lineRule="exact"/>
        <w:rPr>
          <w:rFonts w:hint="eastAsia" w:ascii="宋体" w:hAnsi="宋体"/>
          <w:color w:val="0000ff"/>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ff"/>
          <w:sz w:val="24"/>
          <w:szCs w:val="24"/>
          <w:highlight w:val="none"/>
        </w:rPr>
      </w:r>
      <w:r/>
    </w:p>
    <w:p>
      <w:pPr>
        <w:pStyle w:val="1328"/>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225"/>
        <w:spacing w:line="440" w:lineRule="exact"/>
        <w:rPr>
          <w:rFonts w:hint="eastAsia"/>
          <w:color w:val="000000"/>
          <w:sz w:val="24"/>
          <w:szCs w:val="24"/>
          <w:highlight w:val="none"/>
        </w:rPr>
      </w:pPr>
      <w:r>
        <w:rPr>
          <w:rFonts w:hint="eastAsia"/>
          <w:color w:val="000000"/>
          <w:sz w:val="24"/>
          <w:szCs w:val="24"/>
          <w:highlight w:val="none"/>
        </w:rPr>
        <w:t xml:space="preserve">一、综合评分各因素所占分值为：</w:t>
      </w:r>
      <w:r>
        <w:rPr>
          <w:rFonts w:hint="eastAsia"/>
          <w:color w:val="000000"/>
          <w:sz w:val="24"/>
          <w:szCs w:val="24"/>
          <w:highlight w:val="none"/>
        </w:rPr>
      </w:r>
      <w:r/>
    </w:p>
    <w:p>
      <w:pPr>
        <w:pStyle w:val="1225"/>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（1）最终报价                      </w:t>
      </w:r>
      <w:r>
        <w:rPr>
          <w:rFonts w:hint="eastAsia"/>
          <w:color w:val="000000"/>
          <w:sz w:val="24"/>
          <w:szCs w:val="24"/>
          <w:highlight w:val="none"/>
        </w:rPr>
        <w:t xml:space="preserve">30</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25"/>
        <w:ind w:firstLine="480"/>
        <w:spacing w:line="440" w:lineRule="exact"/>
        <w:rPr>
          <w:rFonts w:hint="eastAsia"/>
          <w:color w:val="000000"/>
          <w:sz w:val="24"/>
          <w:szCs w:val="24"/>
          <w:highlight w:val="none"/>
          <w:lang w:val="zh-CN" w:eastAsia="zh-CN"/>
        </w:rPr>
      </w:pPr>
      <w:r>
        <w:rPr>
          <w:rFonts w:hint="eastAsia"/>
          <w:color w:val="000000"/>
          <w:sz w:val="24"/>
          <w:szCs w:val="24"/>
          <w:highlight w:val="none"/>
          <w:lang w:val="zh-CN"/>
        </w:rPr>
        <w:t xml:space="preserve">（2）</w:t>
      </w:r>
      <w:r>
        <w:rPr>
          <w:rFonts w:hint="eastAsia"/>
          <w:color w:val="000000"/>
          <w:sz w:val="24"/>
          <w:szCs w:val="24"/>
          <w:highlight w:val="none"/>
          <w:lang w:val="zh-CN" w:eastAsia="zh-CN"/>
        </w:rPr>
        <w:t xml:space="preserve">技术部分  </w:t>
      </w:r>
      <w:r>
        <w:rPr>
          <w:rFonts w:hint="eastAsia"/>
          <w:color w:val="000000"/>
          <w:sz w:val="24"/>
          <w:szCs w:val="24"/>
          <w:highlight w:val="none"/>
          <w:lang w:val="en-US" w:eastAsia="zh-CN"/>
        </w:rPr>
        <w:t xml:space="preserve">                  </w:t>
      </w:r>
      <w:r>
        <w:rPr>
          <w:rFonts w:hint="eastAsia"/>
          <w:color w:val="000000"/>
          <w:sz w:val="24"/>
          <w:szCs w:val="24"/>
          <w:highlight w:val="none"/>
          <w:lang w:val="zh-CN" w:eastAsia="zh-CN"/>
        </w:rPr>
        <w:t xml:space="preserve">  </w:t>
      </w:r>
      <w:r>
        <w:rPr>
          <w:rFonts w:hint="eastAsia"/>
          <w:color w:val="000000"/>
          <w:sz w:val="24"/>
          <w:szCs w:val="24"/>
          <w:highlight w:val="none"/>
          <w:lang w:val="en-US" w:eastAsia="zh-CN"/>
        </w:rPr>
        <w:t xml:space="preserve">60</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1225"/>
        <w:ind w:firstLine="480"/>
        <w:spacing w:line="440" w:lineRule="exact"/>
        <w:rPr>
          <w:color w:val="000000"/>
          <w:sz w:val="24"/>
          <w:szCs w:val="24"/>
          <w:highlight w:val="none"/>
          <w:lang w:val="en-US" w:eastAsia="zh-CN"/>
        </w:rPr>
      </w:pPr>
      <w:r>
        <w:rPr>
          <w:rFonts w:hint="eastAsia"/>
          <w:color w:val="000000"/>
          <w:sz w:val="24"/>
          <w:szCs w:val="24"/>
          <w:highlight w:val="none"/>
          <w:lang w:val="zh-CN" w:eastAsia="zh-CN"/>
        </w:rPr>
        <w:t xml:space="preserve">（</w:t>
      </w:r>
      <w:r>
        <w:rPr>
          <w:rFonts w:hint="eastAsia"/>
          <w:color w:val="000000"/>
          <w:sz w:val="24"/>
          <w:szCs w:val="24"/>
          <w:highlight w:val="none"/>
          <w:lang w:val="en-US" w:eastAsia="zh-CN"/>
        </w:rPr>
        <w:t xml:space="preserve">3</w:t>
      </w:r>
      <w:r>
        <w:rPr>
          <w:rFonts w:hint="eastAsia"/>
          <w:color w:val="000000"/>
          <w:sz w:val="24"/>
          <w:szCs w:val="24"/>
          <w:highlight w:val="none"/>
          <w:lang w:val="zh-CN" w:eastAsia="zh-CN"/>
        </w:rPr>
        <w:t xml:space="preserve">）商务部分</w:t>
      </w:r>
      <w:r>
        <w:rPr>
          <w:rFonts w:hint="eastAsia"/>
          <w:color w:val="000000"/>
          <w:sz w:val="24"/>
          <w:szCs w:val="24"/>
          <w:highlight w:val="none"/>
          <w:lang w:val="en-US" w:eastAsia="zh-CN"/>
        </w:rPr>
        <w:t xml:space="preserve">                      10分</w:t>
      </w:r>
      <w:r>
        <w:rPr>
          <w:color w:val="000000"/>
          <w:sz w:val="24"/>
          <w:szCs w:val="24"/>
          <w:highlight w:val="none"/>
          <w:lang w:val="en-US" w:eastAsia="zh-CN"/>
        </w:rPr>
      </w:r>
      <w:r/>
    </w:p>
    <w:p>
      <w:pPr>
        <w:pStyle w:val="1225"/>
        <w:spacing w:line="440" w:lineRule="exact"/>
        <w:rPr>
          <w:rFonts w:hint="eastAsia"/>
          <w:color w:val="000000"/>
          <w:sz w:val="24"/>
          <w:szCs w:val="24"/>
          <w:highlight w:val="none"/>
        </w:rPr>
      </w:pPr>
      <w:r>
        <w:rPr>
          <w:rFonts w:hint="eastAsia"/>
          <w:color w:val="000000"/>
          <w:sz w:val="24"/>
          <w:szCs w:val="24"/>
          <w:highlight w:val="none"/>
        </w:rPr>
        <w:t xml:space="preserve">二、评分办法</w:t>
      </w:r>
      <w:r>
        <w:rPr>
          <w:rFonts w:hint="eastAsia"/>
          <w:color w:val="000000"/>
          <w:sz w:val="24"/>
          <w:szCs w:val="24"/>
          <w:highlight w:val="none"/>
        </w:rPr>
      </w:r>
      <w:r/>
    </w:p>
    <w:p>
      <w:pPr>
        <w:pStyle w:val="1225"/>
        <w:ind w:firstLine="480"/>
        <w:spacing w:line="440" w:lineRule="exact"/>
        <w:rPr>
          <w:rFonts w:hint="eastAsia"/>
          <w:color w:val="000000"/>
          <w:sz w:val="24"/>
          <w:szCs w:val="24"/>
          <w:highlight w:val="none"/>
        </w:rPr>
      </w:pPr>
      <w:r>
        <w:rPr>
          <w:rFonts w:hint="eastAsia"/>
          <w:color w:val="000000"/>
          <w:sz w:val="24"/>
          <w:szCs w:val="24"/>
          <w:highlight w:val="none"/>
        </w:rPr>
        <w:t xml:space="preserve">2.1报价评价（30分）</w:t>
      </w:r>
      <w:r>
        <w:rPr>
          <w:rFonts w:hint="eastAsia"/>
          <w:color w:val="000000"/>
          <w:sz w:val="24"/>
          <w:szCs w:val="24"/>
          <w:highlight w:val="none"/>
        </w:rPr>
      </w:r>
      <w:r/>
    </w:p>
    <w:p>
      <w:pPr>
        <w:pStyle w:val="1225"/>
        <w:ind w:firstLine="480"/>
        <w:spacing w:line="440" w:lineRule="exact"/>
        <w:rPr>
          <w:rFonts w:hint="eastAsia"/>
          <w:color w:val="000000"/>
          <w:sz w:val="24"/>
          <w:szCs w:val="24"/>
          <w:highlight w:val="none"/>
        </w:rPr>
      </w:pPr>
      <w:r>
        <w:rPr>
          <w:rFonts w:hint="eastAsia"/>
          <w:color w:val="000000"/>
          <w:sz w:val="24"/>
          <w:szCs w:val="24"/>
          <w:highlight w:val="none"/>
        </w:rPr>
        <w:t xml:space="preserve">综合评分法中的价格分采用低价优先法计算，即满足招标文件要求且投标价格最低的投标报价为评标基准价，其价格分为满分30分。其他投标人的价格分统一按照下列公式计算：</w:t>
      </w:r>
      <w:r>
        <w:rPr>
          <w:rFonts w:hint="eastAsia"/>
          <w:color w:val="000000"/>
          <w:sz w:val="24"/>
          <w:szCs w:val="24"/>
          <w:highlight w:val="none"/>
        </w:rPr>
      </w:r>
      <w:r/>
    </w:p>
    <w:p>
      <w:pPr>
        <w:pStyle w:val="1225"/>
        <w:ind w:firstLine="480"/>
        <w:spacing w:line="440" w:lineRule="exact"/>
        <w:rPr>
          <w:color w:val="000000"/>
          <w:sz w:val="24"/>
          <w:szCs w:val="24"/>
          <w:highlight w:val="none"/>
        </w:rPr>
      </w:pPr>
      <w:r>
        <w:rPr>
          <w:rFonts w:hint="eastAsia"/>
          <w:color w:val="000000"/>
          <w:sz w:val="24"/>
          <w:szCs w:val="24"/>
          <w:highlight w:val="none"/>
        </w:rPr>
        <w:t xml:space="preserve">投标报价得分=(评标基准价／投标报价)×30</w:t>
      </w:r>
      <w:r>
        <w:rPr>
          <w:color w:val="000000"/>
          <w:sz w:val="24"/>
          <w:szCs w:val="24"/>
          <w:highlight w:val="none"/>
        </w:rPr>
      </w:r>
      <w:r/>
    </w:p>
    <w:p>
      <w:pPr>
        <w:pStyle w:val="1225"/>
        <w:ind w:firstLine="48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2.2</w:t>
      </w:r>
      <w:r>
        <w:rPr>
          <w:rFonts w:hint="eastAsia"/>
          <w:color w:val="000000"/>
          <w:sz w:val="24"/>
          <w:szCs w:val="24"/>
          <w:highlight w:val="none"/>
          <w:lang w:val="zh-CN"/>
        </w:rPr>
        <w:t xml:space="preserve">技术部分（</w:t>
      </w:r>
      <w:r>
        <w:rPr>
          <w:rFonts w:hint="eastAsia"/>
          <w:color w:val="000000"/>
          <w:sz w:val="24"/>
          <w:szCs w:val="24"/>
          <w:highlight w:val="none"/>
          <w:lang w:val="en-US" w:eastAsia="zh-CN"/>
        </w:rPr>
        <w:t xml:space="preserve">60</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25"/>
        <w:ind w:firstLine="480"/>
        <w:spacing w:line="440" w:lineRule="exact"/>
        <w:rPr>
          <w:rFonts w:hint="eastAsia"/>
          <w:color w:val="000000"/>
          <w:highlight w:val="none"/>
          <w:lang w:val="zh-CN"/>
        </w:rPr>
      </w:pPr>
      <w:r>
        <w:rPr>
          <w:rFonts w:hint="eastAsia"/>
          <w:color w:val="000000"/>
          <w:sz w:val="24"/>
          <w:szCs w:val="24"/>
          <w:highlight w:val="none"/>
          <w:lang w:val="en-US" w:eastAsia="zh-CN"/>
        </w:rPr>
        <w:t xml:space="preserve">2</w:t>
      </w:r>
      <w:r>
        <w:rPr>
          <w:rFonts w:hint="eastAsia"/>
          <w:color w:val="000000"/>
          <w:sz w:val="24"/>
          <w:szCs w:val="24"/>
          <w:highlight w:val="none"/>
          <w:lang w:val="zh-CN"/>
        </w:rPr>
        <w:t xml:space="preserve">.2.1质量性能 （</w:t>
      </w:r>
      <w:r>
        <w:rPr>
          <w:rFonts w:hint="eastAsia"/>
          <w:color w:val="000000"/>
          <w:sz w:val="24"/>
          <w:szCs w:val="24"/>
          <w:highlight w:val="none"/>
          <w:lang w:val="en-US" w:eastAsia="zh-CN"/>
        </w:rPr>
        <w:t xml:space="preserve">30</w:t>
      </w:r>
      <w:r>
        <w:rPr>
          <w:rFonts w:hint="eastAsia"/>
          <w:color w:val="000000"/>
          <w:sz w:val="24"/>
          <w:szCs w:val="24"/>
          <w:highlight w:val="none"/>
          <w:lang w:val="zh-CN"/>
        </w:rPr>
        <w:t xml:space="preserve">分）：根据各投标人所投产品功能(性能)及配置、对招标文件各项技术参数及配置要求的逐项响应情况及偏离表综合评定，投标人所投产品技术参数及配置要求均满足基本采购需求的得满</w:t>
      </w:r>
      <w:r>
        <w:rPr>
          <w:rFonts w:hint="eastAsia" w:ascii="Times New Roman" w:hAnsi="Times New Roman" w:eastAsia="宋体" w:cs="Times New Roman"/>
          <w:color w:val="000000"/>
          <w:sz w:val="24"/>
          <w:szCs w:val="24"/>
          <w:highlight w:val="none"/>
          <w:lang w:val="zh-CN"/>
        </w:rPr>
        <w:t xml:space="preserve">分</w:t>
      </w:r>
      <w:r>
        <w:rPr>
          <w:rFonts w:hint="eastAsia" w:ascii="Times New Roman" w:hAnsi="Times New Roman" w:eastAsia="宋体"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lang w:val="zh-CN"/>
        </w:rPr>
        <w:t xml:space="preserve">分，打“▲”部分有一项负偏离扣</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rPr>
        <w:t xml:space="preserve">分;其它</w:t>
      </w:r>
      <w:r>
        <w:rPr>
          <w:rFonts w:hint="eastAsia"/>
          <w:color w:val="000000"/>
          <w:sz w:val="24"/>
          <w:szCs w:val="24"/>
          <w:highlight w:val="none"/>
          <w:lang w:val="zh-CN"/>
        </w:rPr>
        <w:t xml:space="preserve">部分的参数有一项负偏离扣</w:t>
      </w:r>
      <w:r>
        <w:rPr>
          <w:rFonts w:hint="eastAsia"/>
          <w:color w:val="000000"/>
          <w:sz w:val="24"/>
          <w:szCs w:val="24"/>
          <w:highlight w:val="none"/>
          <w:lang w:val="en-US" w:eastAsia="zh-CN"/>
        </w:rPr>
        <w:t xml:space="preserve">0.5</w:t>
      </w:r>
      <w:r>
        <w:rPr>
          <w:rFonts w:hint="eastAsia"/>
          <w:color w:val="000000"/>
          <w:sz w:val="24"/>
          <w:szCs w:val="24"/>
          <w:highlight w:val="none"/>
          <w:lang w:val="zh-CN"/>
        </w:rPr>
        <w:t xml:space="preserve">分，扣完为止。本项最高得</w:t>
      </w:r>
      <w:r>
        <w:rPr>
          <w:rFonts w:hint="eastAsia"/>
          <w:color w:val="000000"/>
          <w:sz w:val="24"/>
          <w:szCs w:val="24"/>
          <w:highlight w:val="none"/>
          <w:lang w:val="en-US" w:eastAsia="zh-CN"/>
        </w:rPr>
        <w:t xml:space="preserve">30</w:t>
      </w:r>
      <w:r>
        <w:rPr>
          <w:rFonts w:hint="eastAsia"/>
          <w:color w:val="000000"/>
          <w:sz w:val="24"/>
          <w:szCs w:val="24"/>
          <w:highlight w:val="none"/>
          <w:lang w:val="zh-CN"/>
        </w:rPr>
        <w:t xml:space="preserve">分。</w:t>
      </w:r>
      <w:r>
        <w:rPr>
          <w:rFonts w:hint="eastAsia"/>
          <w:color w:val="000000"/>
          <w:highlight w:val="none"/>
          <w:lang w:val="zh-CN"/>
        </w:rPr>
      </w:r>
      <w:r/>
    </w:p>
    <w:p>
      <w:pPr>
        <w:pStyle w:val="1225"/>
        <w:ind w:firstLine="482"/>
        <w:spacing w:line="440" w:lineRule="exact"/>
        <w:rPr>
          <w:rFonts w:hint="eastAsia"/>
          <w:b/>
          <w:bCs/>
          <w:color w:val="000000"/>
          <w:sz w:val="24"/>
          <w:szCs w:val="24"/>
          <w:highlight w:val="none"/>
          <w:lang w:val="zh-CN"/>
        </w:rPr>
      </w:pPr>
      <w:r>
        <w:rPr>
          <w:rFonts w:hint="eastAsia"/>
          <w:b/>
          <w:bCs/>
          <w:color w:val="000000"/>
          <w:sz w:val="24"/>
          <w:szCs w:val="24"/>
          <w:highlight w:val="none"/>
          <w:lang w:val="zh-CN"/>
        </w:rPr>
        <w:t xml:space="preserve">注：①投标人在技术响应（偏离表）中必须如实表述产品技术参数是否偏离。</w:t>
      </w:r>
      <w:r>
        <w:rPr>
          <w:rFonts w:hint="eastAsia"/>
          <w:b/>
          <w:bCs/>
          <w:color w:val="000000"/>
          <w:sz w:val="24"/>
          <w:szCs w:val="24"/>
          <w:highlight w:val="none"/>
          <w:lang w:val="zh-CN"/>
        </w:rPr>
      </w:r>
      <w:r/>
    </w:p>
    <w:p>
      <w:pPr>
        <w:pStyle w:val="1225"/>
        <w:ind w:firstLine="482"/>
        <w:spacing w:line="440" w:lineRule="exact"/>
        <w:rPr>
          <w:rFonts w:hint="eastAsia"/>
          <w:b/>
          <w:bCs/>
          <w:color w:val="000000"/>
          <w:sz w:val="24"/>
          <w:szCs w:val="24"/>
          <w:highlight w:val="none"/>
          <w:lang w:val="zh-CN"/>
        </w:rPr>
      </w:pPr>
      <w:r>
        <w:rPr>
          <w:rFonts w:hint="eastAsia"/>
          <w:b/>
          <w:bCs/>
          <w:color w:val="000000"/>
          <w:sz w:val="24"/>
          <w:szCs w:val="24"/>
          <w:highlight w:val="none"/>
          <w:lang w:val="zh-CN"/>
        </w:rPr>
        <w:t xml:space="preserve">②投标人需按照本采购文件具体功能技术要求在“技术参数响应及偏离表”中如实详细填列所投产品的参数，打“▲”部分</w:t>
      </w:r>
      <w:r>
        <w:rPr>
          <w:rFonts w:hint="eastAsia"/>
          <w:b/>
          <w:bCs/>
          <w:color w:val="000000"/>
          <w:sz w:val="24"/>
          <w:szCs w:val="24"/>
          <w:highlight w:val="none"/>
          <w:lang w:val="zh-CN" w:eastAsia="zh-CN"/>
        </w:rPr>
        <w:t xml:space="preserve">需</w:t>
      </w:r>
      <w:r>
        <w:rPr>
          <w:rFonts w:hint="eastAsia"/>
          <w:b/>
          <w:bCs/>
          <w:color w:val="000000"/>
          <w:sz w:val="24"/>
          <w:szCs w:val="24"/>
          <w:highlight w:val="none"/>
          <w:lang w:val="zh-CN"/>
        </w:rPr>
        <w:t xml:space="preserve">提供相应证明文件。</w:t>
      </w:r>
      <w:r>
        <w:rPr>
          <w:rFonts w:hint="eastAsia"/>
          <w:b/>
          <w:bCs/>
          <w:color w:val="000000"/>
          <w:sz w:val="24"/>
          <w:szCs w:val="24"/>
          <w:highlight w:val="none"/>
          <w:lang w:val="zh-CN" w:eastAsia="zh-CN"/>
        </w:rPr>
        <w:t xml:space="preserve">各投标人须如实描述所投产品的技术性能，若虚构产品技术参数的，将视为虚假响应，作无效投标。</w:t>
      </w:r>
      <w:r>
        <w:rPr>
          <w:rFonts w:hint="eastAsia"/>
          <w:b/>
          <w:bCs/>
          <w:color w:val="000000"/>
          <w:sz w:val="24"/>
          <w:szCs w:val="24"/>
          <w:highlight w:val="none"/>
          <w:lang w:val="zh-CN"/>
        </w:rPr>
        <w:t xml:space="preserve">要求提供相关证明材料但未提供则视为该功能参数响应负偏离，进行扣分或无效响应处理。</w:t>
      </w:r>
      <w:r>
        <w:rPr>
          <w:rFonts w:hint="eastAsia"/>
          <w:b/>
          <w:bCs/>
          <w:color w:val="000000"/>
          <w:sz w:val="24"/>
          <w:szCs w:val="24"/>
          <w:highlight w:val="none"/>
          <w:lang w:val="zh-CN"/>
        </w:rPr>
      </w:r>
      <w:r/>
    </w:p>
    <w:p>
      <w:pPr>
        <w:pStyle w:val="1225"/>
        <w:ind w:firstLine="482"/>
        <w:spacing w:line="440" w:lineRule="exact"/>
        <w:rPr>
          <w:rFonts w:hint="eastAsia"/>
          <w:b/>
          <w:bCs/>
          <w:color w:val="000000"/>
          <w:sz w:val="24"/>
          <w:szCs w:val="24"/>
          <w:highlight w:val="none"/>
          <w:lang w:val="zh-CN"/>
        </w:rPr>
      </w:pPr>
      <w:r>
        <w:rPr>
          <w:rFonts w:hint="eastAsia"/>
          <w:b/>
          <w:bCs/>
          <w:color w:val="000000"/>
          <w:sz w:val="24"/>
          <w:szCs w:val="24"/>
          <w:highlight w:val="none"/>
          <w:lang w:val="zh-CN"/>
        </w:rPr>
        <w:t xml:space="preserve">③技术参数无要求提供相应的证明材料，响应即可，未响应或未按照要求提供佐证材料视为负偏离，进行扣分处理。</w:t>
      </w:r>
      <w:r>
        <w:rPr>
          <w:rFonts w:hint="eastAsia"/>
          <w:b/>
          <w:bCs/>
          <w:color w:val="000000"/>
          <w:sz w:val="24"/>
          <w:szCs w:val="24"/>
          <w:highlight w:val="none"/>
          <w:lang w:val="zh-CN"/>
        </w:rPr>
      </w:r>
      <w:r/>
    </w:p>
    <w:p>
      <w:pPr>
        <w:pStyle w:val="1225"/>
        <w:ind w:firstLine="480"/>
        <w:spacing w:line="440" w:lineRule="exact"/>
        <w:rPr>
          <w:rFonts w:hint="eastAsia"/>
          <w:color w:val="000000"/>
          <w:sz w:val="24"/>
          <w:szCs w:val="24"/>
          <w:highlight w:val="none"/>
          <w:lang w:val="zh-CN" w:eastAsia="zh-CN"/>
        </w:rPr>
      </w:pPr>
      <w:r>
        <w:rPr>
          <w:rFonts w:hint="eastAsia"/>
          <w:color w:val="000000"/>
          <w:sz w:val="24"/>
          <w:szCs w:val="24"/>
          <w:highlight w:val="none"/>
          <w:lang w:val="en-US" w:eastAsia="zh-CN"/>
        </w:rPr>
        <w:t xml:space="preserve">2.2.3</w:t>
      </w:r>
      <w:r>
        <w:rPr>
          <w:rFonts w:hint="eastAsia"/>
          <w:color w:val="000000"/>
          <w:sz w:val="24"/>
          <w:szCs w:val="24"/>
          <w:highlight w:val="none"/>
          <w:lang w:val="zh-CN" w:eastAsia="zh-CN"/>
        </w:rPr>
        <w:t xml:space="preserve">实施方案（</w:t>
      </w:r>
      <w:r>
        <w:rPr>
          <w:rFonts w:hint="eastAsia"/>
          <w:color w:val="000000"/>
          <w:sz w:val="24"/>
          <w:szCs w:val="24"/>
          <w:highlight w:val="none"/>
          <w:lang w:val="en-US" w:eastAsia="zh-CN"/>
        </w:rPr>
        <w:t xml:space="preserve">5</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1225"/>
        <w:ind w:firstLine="480"/>
        <w:spacing w:line="440" w:lineRule="exact"/>
        <w:rPr>
          <w:rFonts w:hint="eastAsia"/>
          <w:sz w:val="24"/>
          <w:szCs w:val="24"/>
          <w:highlight w:val="none"/>
          <w:lang w:val="zh-CN" w:eastAsia="zh-CN"/>
        </w:rPr>
      </w:pPr>
      <w:r>
        <w:rPr>
          <w:rFonts w:hint="eastAsia"/>
          <w:sz w:val="24"/>
          <w:szCs w:val="24"/>
          <w:highlight w:val="none"/>
          <w:lang w:val="zh-CN" w:eastAsia="zh-CN"/>
        </w:rPr>
        <w:t xml:space="preserve">根据各投标人提供的实施方案，包括但不限于实施进度、物资采购及备货、货物运输、人员车辆配置、设备安装、调试、联网、试运行、验收等。方案内容完整、合理可行、完全满足实际要求的得</w:t>
      </w:r>
      <w:r>
        <w:rPr>
          <w:rFonts w:hint="eastAsia"/>
          <w:sz w:val="24"/>
          <w:szCs w:val="24"/>
          <w:highlight w:val="none"/>
          <w:lang w:val="en-US" w:eastAsia="zh-CN"/>
        </w:rPr>
        <w:t xml:space="preserve">5</w:t>
      </w:r>
      <w:r>
        <w:rPr>
          <w:rFonts w:hint="eastAsia"/>
          <w:sz w:val="24"/>
          <w:szCs w:val="24"/>
          <w:highlight w:val="none"/>
          <w:lang w:val="zh-CN" w:eastAsia="zh-CN"/>
        </w:rPr>
        <w:t xml:space="preserve">分；方案内容较完整、较科学合理、基本满足实际要求的得</w:t>
      </w:r>
      <w:r>
        <w:rPr>
          <w:rFonts w:hint="eastAsia"/>
          <w:sz w:val="24"/>
          <w:szCs w:val="24"/>
          <w:highlight w:val="none"/>
          <w:lang w:val="en-US" w:eastAsia="zh-CN"/>
        </w:rPr>
        <w:t xml:space="preserve">3</w:t>
      </w:r>
      <w:r>
        <w:rPr>
          <w:rFonts w:hint="eastAsia"/>
          <w:sz w:val="24"/>
          <w:szCs w:val="24"/>
          <w:highlight w:val="none"/>
          <w:lang w:val="zh-CN" w:eastAsia="zh-CN"/>
        </w:rPr>
        <w:t xml:space="preserve">分；方案内容不</w:t>
      </w:r>
      <w:r>
        <w:rPr>
          <w:rFonts w:hint="eastAsia"/>
          <w:sz w:val="24"/>
          <w:szCs w:val="24"/>
          <w:highlight w:val="none"/>
          <w:lang w:val="en-US" w:eastAsia="zh-CN"/>
        </w:rPr>
        <w:t xml:space="preserve">太</w:t>
      </w:r>
      <w:r>
        <w:rPr>
          <w:rFonts w:hint="eastAsia"/>
          <w:sz w:val="24"/>
          <w:szCs w:val="24"/>
          <w:highlight w:val="none"/>
          <w:lang w:val="zh-CN" w:eastAsia="zh-CN"/>
        </w:rPr>
        <w:t xml:space="preserve">完整、部分满足实际要求，</w:t>
      </w:r>
      <w:r>
        <w:rPr>
          <w:rFonts w:hint="eastAsia"/>
          <w:sz w:val="24"/>
          <w:szCs w:val="24"/>
          <w:highlight w:val="none"/>
          <w:lang w:val="en-US" w:eastAsia="zh-CN"/>
        </w:rPr>
        <w:t xml:space="preserve">有一定合理性</w:t>
      </w:r>
      <w:r>
        <w:rPr>
          <w:rFonts w:hint="eastAsia"/>
          <w:sz w:val="24"/>
          <w:szCs w:val="24"/>
          <w:highlight w:val="none"/>
          <w:lang w:val="zh-CN" w:eastAsia="zh-CN"/>
        </w:rPr>
        <w:t xml:space="preserve">的得</w:t>
      </w:r>
      <w:r>
        <w:rPr>
          <w:rFonts w:hint="eastAsia"/>
          <w:sz w:val="24"/>
          <w:szCs w:val="24"/>
          <w:highlight w:val="none"/>
          <w:lang w:val="en-US" w:eastAsia="zh-CN"/>
        </w:rPr>
        <w:t xml:space="preserve">2</w:t>
      </w:r>
      <w:r>
        <w:rPr>
          <w:rFonts w:hint="eastAsia"/>
          <w:sz w:val="24"/>
          <w:szCs w:val="24"/>
          <w:highlight w:val="none"/>
          <w:lang w:val="zh-CN" w:eastAsia="zh-CN"/>
        </w:rPr>
        <w:t xml:space="preserve">分；</w:t>
      </w:r>
      <w:r>
        <w:rPr>
          <w:rFonts w:hint="eastAsia"/>
          <w:sz w:val="24"/>
          <w:szCs w:val="24"/>
          <w:highlight w:val="none"/>
          <w:lang w:val="en-US" w:eastAsia="zh-CN"/>
        </w:rPr>
        <w:t xml:space="preserve">方案不完整、不合理、不满足实际要求的，得1分；</w:t>
      </w:r>
      <w:r>
        <w:rPr>
          <w:rFonts w:hint="eastAsia"/>
          <w:sz w:val="24"/>
          <w:szCs w:val="24"/>
          <w:highlight w:val="none"/>
          <w:lang w:val="zh-CN" w:eastAsia="zh-CN"/>
        </w:rPr>
        <w:t xml:space="preserve">未提供方案的不得分。</w:t>
      </w:r>
      <w:r>
        <w:rPr>
          <w:rFonts w:hint="eastAsia"/>
          <w:sz w:val="24"/>
          <w:szCs w:val="24"/>
          <w:highlight w:val="none"/>
          <w:lang w:val="zh-CN" w:eastAsia="zh-CN"/>
        </w:rPr>
      </w:r>
      <w:r/>
    </w:p>
    <w:p>
      <w:pPr>
        <w:pStyle w:val="1225"/>
        <w:ind w:firstLine="480"/>
        <w:spacing w:line="44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lang w:val="en-US" w:eastAsia="zh-CN"/>
        </w:rPr>
        <w:t xml:space="preserve">4培训方案</w:t>
      </w:r>
      <w:r>
        <w:rPr>
          <w:rFonts w:hint="eastAsia"/>
          <w:sz w:val="24"/>
          <w:szCs w:val="24"/>
          <w:highlight w:val="none"/>
        </w:rPr>
        <w:t xml:space="preserve">(</w:t>
      </w:r>
      <w:r>
        <w:rPr>
          <w:rFonts w:hint="eastAsia"/>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1225"/>
        <w:ind w:firstLine="480"/>
        <w:spacing w:line="440" w:lineRule="exact"/>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根据各投标人提供的具体详实的培训方案，针对本项目制定全面、详细、可操作性强的技术培训方案，内容包括但不限于培训计划、培训内容、培训人员及导师等方面，</w:t>
      </w:r>
      <w:r>
        <w:rPr>
          <w:rFonts w:hint="eastAsia"/>
          <w:sz w:val="24"/>
          <w:szCs w:val="24"/>
          <w:highlight w:val="none"/>
          <w:lang w:val="zh-CN"/>
        </w:rPr>
        <w:t xml:space="preserve">方案</w:t>
      </w:r>
      <w:r>
        <w:rPr>
          <w:rFonts w:hint="eastAsia"/>
          <w:sz w:val="24"/>
          <w:szCs w:val="24"/>
          <w:highlight w:val="none"/>
        </w:rPr>
        <w:t xml:space="preserve">构思缜密、符合实际、完整详细，能够制定详细、具体方案，语言表述准确清晰的得</w:t>
      </w:r>
      <w:r>
        <w:rPr>
          <w:rFonts w:hint="eastAsia"/>
          <w:sz w:val="24"/>
          <w:szCs w:val="24"/>
          <w:highlight w:val="none"/>
          <w:lang w:val="en-US" w:eastAsia="zh-CN"/>
        </w:rPr>
        <w:t xml:space="preserve">5</w:t>
      </w:r>
      <w:r>
        <w:rPr>
          <w:rFonts w:hint="eastAsia"/>
          <w:sz w:val="24"/>
          <w:szCs w:val="24"/>
          <w:highlight w:val="none"/>
        </w:rPr>
        <w:t xml:space="preserve">分；内容解读具有比较可行性、合理性、能够基本满足本项目采购需求内容，为本项目制定较完善的</w:t>
      </w:r>
      <w:r>
        <w:rPr>
          <w:rFonts w:hint="eastAsia"/>
          <w:sz w:val="24"/>
          <w:szCs w:val="24"/>
          <w:highlight w:val="none"/>
          <w:lang w:val="zh-CN"/>
        </w:rPr>
        <w:t xml:space="preserve">方案</w:t>
      </w:r>
      <w:r>
        <w:rPr>
          <w:rFonts w:hint="eastAsia"/>
          <w:sz w:val="24"/>
          <w:szCs w:val="24"/>
          <w:highlight w:val="none"/>
        </w:rPr>
        <w:t xml:space="preserve">，完整和实用的得</w:t>
      </w:r>
      <w:r>
        <w:rPr>
          <w:rFonts w:hint="eastAsia"/>
          <w:sz w:val="24"/>
          <w:szCs w:val="24"/>
          <w:highlight w:val="none"/>
          <w:lang w:val="en-US" w:eastAsia="zh-CN"/>
        </w:rPr>
        <w:t xml:space="preserve">3</w:t>
      </w:r>
      <w:r>
        <w:rPr>
          <w:rFonts w:hint="eastAsia"/>
          <w:sz w:val="24"/>
          <w:szCs w:val="24"/>
          <w:highlight w:val="none"/>
        </w:rPr>
        <w:t xml:space="preserve">分；内容基本完整、思路清晰、可行性较好的得</w:t>
      </w:r>
      <w:r>
        <w:rPr>
          <w:rFonts w:hint="eastAsia"/>
          <w:sz w:val="24"/>
          <w:szCs w:val="24"/>
          <w:highlight w:val="none"/>
          <w:lang w:val="en-US" w:eastAsia="zh-CN"/>
        </w:rPr>
        <w:t xml:space="preserve">2</w:t>
      </w:r>
      <w:r>
        <w:rPr>
          <w:rFonts w:hint="eastAsia"/>
          <w:sz w:val="24"/>
          <w:szCs w:val="24"/>
          <w:highlight w:val="none"/>
        </w:rPr>
        <w:t xml:space="preserve">分；有</w:t>
      </w:r>
      <w:r>
        <w:rPr>
          <w:rFonts w:hint="eastAsia"/>
          <w:sz w:val="24"/>
          <w:szCs w:val="24"/>
          <w:highlight w:val="none"/>
          <w:lang w:val="zh-CN"/>
        </w:rPr>
        <w:t xml:space="preserve">整体方案</w:t>
      </w:r>
      <w:r>
        <w:rPr>
          <w:rFonts w:hint="eastAsia"/>
          <w:sz w:val="24"/>
          <w:szCs w:val="24"/>
          <w:highlight w:val="none"/>
        </w:rPr>
        <w:t xml:space="preserve">，但方案内容模糊，没有针对本项目主要工作内容制定，内容不详实、不完整、内容不全面的</w:t>
      </w:r>
      <w:r>
        <w:rPr>
          <w:rFonts w:hint="eastAsia"/>
          <w:sz w:val="24"/>
          <w:szCs w:val="24"/>
          <w:highlight w:val="none"/>
          <w:lang w:val="en-US" w:eastAsia="zh-CN"/>
        </w:rPr>
        <w:t xml:space="preserve">1</w:t>
      </w:r>
      <w:r>
        <w:rPr>
          <w:rFonts w:hint="eastAsia"/>
          <w:sz w:val="24"/>
          <w:szCs w:val="24"/>
          <w:highlight w:val="none"/>
        </w:rPr>
        <w:t xml:space="preserve">分。没有内容的不得分。</w:t>
      </w:r>
      <w:r>
        <w:rPr>
          <w:rFonts w:hint="eastAsia" w:ascii="Times New Roman" w:hAnsi="Times New Roman" w:eastAsia="宋体" w:cs="Times New Roman"/>
          <w:strike w:val="0"/>
          <w:sz w:val="24"/>
          <w:szCs w:val="24"/>
          <w:highlight w:val="none"/>
          <w:lang w:val="en-US" w:eastAsia="zh-CN"/>
        </w:rPr>
      </w:r>
      <w:r/>
    </w:p>
    <w:p>
      <w:pPr>
        <w:pStyle w:val="1225"/>
        <w:ind w:firstLine="480"/>
        <w:spacing w:line="440" w:lineRule="exact"/>
        <w:rPr>
          <w:rFonts w:hint="eastAsia"/>
          <w:sz w:val="24"/>
          <w:szCs w:val="24"/>
          <w:highlight w:val="none"/>
          <w:lang w:val="zh-CN" w:eastAsia="zh-CN"/>
        </w:rPr>
      </w:pPr>
      <w:r>
        <w:rPr>
          <w:rFonts w:hint="eastAsia" w:ascii="Times New Roman" w:hAnsi="Times New Roman" w:eastAsia="宋体" w:cs="Times New Roman"/>
          <w:strike w:val="0"/>
          <w:sz w:val="24"/>
          <w:szCs w:val="24"/>
          <w:highlight w:val="none"/>
          <w:lang w:val="en-US" w:eastAsia="zh-CN"/>
        </w:rPr>
        <w:t xml:space="preserve">2.2.5质保服务方案</w:t>
      </w:r>
      <w:r>
        <w:rPr>
          <w:rFonts w:hint="eastAsia"/>
          <w:sz w:val="24"/>
          <w:szCs w:val="24"/>
          <w:highlight w:val="none"/>
          <w:lang w:val="zh-CN" w:eastAsia="zh-CN"/>
        </w:rPr>
        <w:t xml:space="preserve">（</w:t>
      </w:r>
      <w:r>
        <w:rPr>
          <w:rFonts w:hint="eastAsia"/>
          <w:sz w:val="24"/>
          <w:szCs w:val="24"/>
          <w:highlight w:val="none"/>
          <w:lang w:val="en-US" w:eastAsia="zh-CN"/>
        </w:rPr>
        <w:t xml:space="preserve">5分</w:t>
      </w:r>
      <w:r>
        <w:rPr>
          <w:rFonts w:hint="eastAsia"/>
          <w:sz w:val="24"/>
          <w:szCs w:val="24"/>
          <w:highlight w:val="none"/>
          <w:lang w:val="zh-CN" w:eastAsia="zh-CN"/>
        </w:rPr>
        <w:t xml:space="preserve">）</w:t>
      </w:r>
      <w:r>
        <w:rPr>
          <w:rFonts w:hint="eastAsia"/>
          <w:sz w:val="24"/>
          <w:szCs w:val="24"/>
          <w:highlight w:val="none"/>
          <w:lang w:val="zh-CN" w:eastAsia="zh-CN"/>
        </w:rPr>
      </w:r>
      <w:r/>
    </w:p>
    <w:p>
      <w:pPr>
        <w:pStyle w:val="1225"/>
        <w:ind w:firstLine="480"/>
        <w:spacing w:line="440" w:lineRule="exact"/>
        <w:rPr>
          <w:rFonts w:hint="eastAsia"/>
          <w:sz w:val="24"/>
          <w:szCs w:val="24"/>
          <w:highlight w:val="none"/>
          <w:lang w:val="zh-CN" w:eastAsia="zh-CN"/>
        </w:rPr>
      </w:pPr>
      <w:r>
        <w:rPr>
          <w:rFonts w:hint="eastAsia"/>
          <w:sz w:val="24"/>
          <w:szCs w:val="24"/>
          <w:highlight w:val="none"/>
          <w:lang w:val="zh-CN" w:eastAsia="zh-CN"/>
        </w:rPr>
        <w:t xml:space="preserve">根据各投标人提供质保服务方案，按照技术规范并结合所投项目的实际情况，制定全面、详细、可操作性强的质保服务方案，内容包含但不限于质保服务承诺、日常维护、巡检方案、故障维修、响应时间等方面，方案内容详细完整、详细，完全满足项目实际需求的得</w:t>
      </w:r>
      <w:r>
        <w:rPr>
          <w:rFonts w:hint="eastAsia"/>
          <w:sz w:val="24"/>
          <w:szCs w:val="24"/>
          <w:highlight w:val="none"/>
          <w:lang w:val="en-US" w:eastAsia="zh-CN"/>
        </w:rPr>
        <w:t xml:space="preserve">5</w:t>
      </w:r>
      <w:r>
        <w:rPr>
          <w:rFonts w:hint="eastAsia"/>
          <w:sz w:val="24"/>
          <w:szCs w:val="24"/>
          <w:highlight w:val="none"/>
          <w:lang w:val="zh-CN" w:eastAsia="zh-CN"/>
        </w:rPr>
        <w:t xml:space="preserve">分；</w:t>
      </w:r>
      <w:r>
        <w:rPr>
          <w:rFonts w:hint="eastAsia"/>
          <w:sz w:val="24"/>
          <w:szCs w:val="24"/>
          <w:highlight w:val="none"/>
        </w:rPr>
        <w:t xml:space="preserve">内容解读具有比较可行性、合理性、能够基本满足本项目采购需求内容，为本项目制定较完善的</w:t>
      </w:r>
      <w:r>
        <w:rPr>
          <w:rFonts w:hint="eastAsia"/>
          <w:sz w:val="24"/>
          <w:szCs w:val="24"/>
          <w:highlight w:val="none"/>
          <w:lang w:val="zh-CN"/>
        </w:rPr>
        <w:t xml:space="preserve">方案</w:t>
      </w:r>
      <w:r>
        <w:rPr>
          <w:rFonts w:hint="eastAsia"/>
          <w:sz w:val="24"/>
          <w:szCs w:val="24"/>
          <w:highlight w:val="none"/>
        </w:rPr>
        <w:t xml:space="preserve">，完整和实用的得</w:t>
      </w:r>
      <w:r>
        <w:rPr>
          <w:rFonts w:hint="eastAsia"/>
          <w:sz w:val="24"/>
          <w:szCs w:val="24"/>
          <w:highlight w:val="none"/>
          <w:lang w:val="en-US" w:eastAsia="zh-CN"/>
        </w:rPr>
        <w:t xml:space="preserve">3</w:t>
      </w:r>
      <w:r>
        <w:rPr>
          <w:rFonts w:hint="eastAsia"/>
          <w:sz w:val="24"/>
          <w:szCs w:val="24"/>
          <w:highlight w:val="none"/>
        </w:rPr>
        <w:t xml:space="preserve">分；内容基本完整、思路清晰、可行性较好的得</w:t>
      </w:r>
      <w:r>
        <w:rPr>
          <w:rFonts w:hint="eastAsia"/>
          <w:sz w:val="24"/>
          <w:szCs w:val="24"/>
          <w:highlight w:val="none"/>
          <w:lang w:val="en-US" w:eastAsia="zh-CN"/>
        </w:rPr>
        <w:t xml:space="preserve">2</w:t>
      </w:r>
      <w:r>
        <w:rPr>
          <w:rFonts w:hint="eastAsia"/>
          <w:sz w:val="24"/>
          <w:szCs w:val="24"/>
          <w:highlight w:val="none"/>
        </w:rPr>
        <w:t xml:space="preserve">分；有</w:t>
      </w:r>
      <w:r>
        <w:rPr>
          <w:rFonts w:hint="eastAsia"/>
          <w:sz w:val="24"/>
          <w:szCs w:val="24"/>
          <w:highlight w:val="none"/>
          <w:lang w:val="zh-CN"/>
        </w:rPr>
        <w:t xml:space="preserve">整体方案</w:t>
      </w:r>
      <w:r>
        <w:rPr>
          <w:rFonts w:hint="eastAsia"/>
          <w:sz w:val="24"/>
          <w:szCs w:val="24"/>
          <w:highlight w:val="none"/>
        </w:rPr>
        <w:t xml:space="preserve">，但方案内容模糊，没有针对本项目主要工作内容制定，内容不详实、不完整、内容不全面的</w:t>
      </w:r>
      <w:r>
        <w:rPr>
          <w:rFonts w:hint="eastAsia"/>
          <w:sz w:val="24"/>
          <w:szCs w:val="24"/>
          <w:highlight w:val="none"/>
          <w:lang w:val="en-US" w:eastAsia="zh-CN"/>
        </w:rPr>
        <w:t xml:space="preserve">1</w:t>
      </w:r>
      <w:r>
        <w:rPr>
          <w:rFonts w:hint="eastAsia"/>
          <w:sz w:val="24"/>
          <w:szCs w:val="24"/>
          <w:highlight w:val="none"/>
        </w:rPr>
        <w:t xml:space="preserve">分。没有内容的不得分。</w:t>
      </w:r>
      <w:r>
        <w:rPr>
          <w:rFonts w:hint="eastAsia"/>
          <w:sz w:val="24"/>
          <w:szCs w:val="24"/>
          <w:highlight w:val="none"/>
          <w:lang w:val="zh-CN" w:eastAsia="zh-CN"/>
        </w:rPr>
      </w:r>
      <w:r/>
    </w:p>
    <w:p>
      <w:pPr>
        <w:pStyle w:val="1225"/>
        <w:ind w:firstLine="480"/>
        <w:spacing w:line="440" w:lineRule="exact"/>
        <w:rPr>
          <w:rFonts w:hint="eastAsia"/>
          <w:sz w:val="24"/>
          <w:szCs w:val="24"/>
          <w:highlight w:val="none"/>
          <w:lang w:val="zh-CN" w:eastAsia="zh-CN"/>
        </w:rPr>
      </w:pPr>
      <w:r>
        <w:rPr>
          <w:rFonts w:hint="eastAsia"/>
          <w:sz w:val="24"/>
          <w:szCs w:val="24"/>
          <w:highlight w:val="none"/>
          <w:lang w:val="en-US" w:eastAsia="zh-CN"/>
        </w:rPr>
        <w:t xml:space="preserve">2.2.6应急预案</w:t>
      </w:r>
      <w:r>
        <w:rPr>
          <w:rFonts w:hint="eastAsia"/>
          <w:sz w:val="24"/>
          <w:szCs w:val="24"/>
          <w:highlight w:val="none"/>
          <w:lang w:val="zh-CN" w:eastAsia="zh-CN"/>
        </w:rPr>
        <w:t xml:space="preserve">（</w:t>
      </w:r>
      <w:r>
        <w:rPr>
          <w:rFonts w:hint="eastAsia"/>
          <w:sz w:val="24"/>
          <w:szCs w:val="24"/>
          <w:highlight w:val="none"/>
          <w:lang w:val="en-US" w:eastAsia="zh-CN"/>
        </w:rPr>
        <w:t xml:space="preserve">5</w:t>
      </w:r>
      <w:r>
        <w:rPr>
          <w:rFonts w:hint="eastAsia"/>
          <w:sz w:val="24"/>
          <w:szCs w:val="24"/>
          <w:highlight w:val="none"/>
          <w:lang w:val="zh-CN" w:eastAsia="zh-CN"/>
        </w:rPr>
        <w:t xml:space="preserve">分）</w:t>
      </w:r>
      <w:r>
        <w:rPr>
          <w:rFonts w:hint="eastAsia"/>
          <w:sz w:val="24"/>
          <w:szCs w:val="24"/>
          <w:highlight w:val="none"/>
          <w:lang w:val="zh-CN" w:eastAsia="zh-CN"/>
        </w:rPr>
      </w:r>
      <w:r/>
    </w:p>
    <w:p>
      <w:pPr>
        <w:pStyle w:val="1225"/>
        <w:ind w:firstLine="480"/>
        <w:spacing w:line="440" w:lineRule="exac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zh-CN" w:eastAsia="zh-CN"/>
        </w:rPr>
        <w:t xml:space="preserve">根据各投标人需提供针对数据或空气异常和不可抗力导致不具备运维条件的应急预案，内容包含但不限于应急工作流程，各种应急情景、发现应急情况的方法、应急措施及解决方案等方面，方案完整、详细、可行的得</w:t>
      </w:r>
      <w:r>
        <w:rPr>
          <w:rFonts w:hint="eastAsia"/>
          <w:sz w:val="24"/>
          <w:szCs w:val="24"/>
          <w:highlight w:val="none"/>
          <w:lang w:val="en-US" w:eastAsia="zh-CN"/>
        </w:rPr>
        <w:t xml:space="preserve">5</w:t>
      </w:r>
      <w:r>
        <w:rPr>
          <w:rFonts w:hint="eastAsia"/>
          <w:sz w:val="24"/>
          <w:szCs w:val="24"/>
          <w:highlight w:val="none"/>
          <w:lang w:val="zh-CN" w:eastAsia="zh-CN"/>
        </w:rPr>
        <w:t xml:space="preserve">分；方案</w:t>
      </w:r>
      <w:r>
        <w:rPr>
          <w:rFonts w:hint="eastAsia"/>
          <w:sz w:val="24"/>
          <w:szCs w:val="24"/>
          <w:highlight w:val="none"/>
        </w:rPr>
        <w:t xml:space="preserve">具有比较可行性、合理性、能够基本满足本项目采购需求内容，为本项目制定较完善的</w:t>
      </w:r>
      <w:r>
        <w:rPr>
          <w:rFonts w:hint="eastAsia"/>
          <w:sz w:val="24"/>
          <w:szCs w:val="24"/>
          <w:highlight w:val="none"/>
          <w:lang w:val="zh-CN"/>
        </w:rPr>
        <w:t xml:space="preserve">方案</w:t>
      </w:r>
      <w:r>
        <w:rPr>
          <w:rFonts w:hint="eastAsia"/>
          <w:sz w:val="24"/>
          <w:szCs w:val="24"/>
          <w:highlight w:val="none"/>
        </w:rPr>
        <w:t xml:space="preserve">，完整和实用的得</w:t>
      </w:r>
      <w:r>
        <w:rPr>
          <w:rFonts w:hint="eastAsia"/>
          <w:sz w:val="24"/>
          <w:szCs w:val="24"/>
          <w:highlight w:val="none"/>
          <w:lang w:val="en-US" w:eastAsia="zh-CN"/>
        </w:rPr>
        <w:t xml:space="preserve">3</w:t>
      </w:r>
      <w:r>
        <w:rPr>
          <w:rFonts w:hint="eastAsia"/>
          <w:sz w:val="24"/>
          <w:szCs w:val="24"/>
          <w:highlight w:val="none"/>
        </w:rPr>
        <w:t xml:space="preserve">分</w:t>
      </w:r>
      <w:r>
        <w:rPr>
          <w:rFonts w:hint="eastAsia"/>
          <w:sz w:val="24"/>
          <w:szCs w:val="24"/>
          <w:highlight w:val="none"/>
          <w:lang w:val="en-US" w:eastAsia="zh-CN" w:bidi="ar-SA"/>
        </w:rPr>
        <w:t xml:space="preserve">；内容基本完整、思路清晰、可行性较好的得2分；有</w:t>
      </w:r>
      <w:r>
        <w:rPr>
          <w:rFonts w:hint="eastAsia"/>
          <w:sz w:val="24"/>
          <w:szCs w:val="24"/>
          <w:highlight w:val="none"/>
          <w:lang w:val="zh-CN" w:eastAsia="zh-CN" w:bidi="ar-SA"/>
        </w:rPr>
        <w:t xml:space="preserve">整体方案</w:t>
      </w:r>
      <w:r>
        <w:rPr>
          <w:rFonts w:hint="eastAsia"/>
          <w:sz w:val="24"/>
          <w:szCs w:val="24"/>
          <w:highlight w:val="none"/>
          <w:lang w:val="en-US" w:eastAsia="zh-CN" w:bidi="ar-SA"/>
        </w:rPr>
        <w:t xml:space="preserve">，但方案内容模糊，没有针对本项目主要工作内容制定，内容不详实、不完整、内容不全面的1分。没</w:t>
      </w:r>
      <w:r>
        <w:rPr>
          <w:rFonts w:hint="eastAsia" w:ascii="Times New Roman" w:hAnsi="Times New Roman" w:eastAsia="宋体" w:cs="Times New Roman"/>
          <w:sz w:val="24"/>
          <w:szCs w:val="24"/>
          <w:highlight w:val="none"/>
          <w:lang w:val="en-US" w:eastAsia="zh-CN" w:bidi="ar-SA"/>
        </w:rPr>
        <w:t xml:space="preserve">有内容的不得分。</w:t>
      </w:r>
      <w:r>
        <w:rPr>
          <w:rFonts w:hint="eastAsia" w:ascii="Times New Roman" w:hAnsi="Times New Roman" w:eastAsia="宋体" w:cs="Times New Roman"/>
          <w:sz w:val="24"/>
          <w:szCs w:val="24"/>
          <w:highlight w:val="none"/>
          <w:lang w:val="en-US" w:eastAsia="zh-CN" w:bidi="ar-SA"/>
        </w:rPr>
      </w:r>
      <w:r/>
    </w:p>
    <w:p>
      <w:pPr>
        <w:pStyle w:val="1225"/>
        <w:ind w:firstLine="480"/>
        <w:spacing w:line="440" w:lineRule="exact"/>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2.2.7质控方案（5分）</w:t>
      </w:r>
      <w:r>
        <w:rPr>
          <w:rFonts w:ascii="Times New Roman" w:hAnsi="Times New Roman" w:eastAsia="宋体" w:cs="Times New Roman"/>
          <w:sz w:val="24"/>
          <w:szCs w:val="24"/>
          <w:highlight w:val="none"/>
          <w:lang w:val="en-US" w:eastAsia="zh-CN" w:bidi="ar-SA"/>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根据各投标人提供质量控制措施，质量控制体系完善，制定了详实可行的质控措施，方案科学合理、针对性强的得5分；方案具有比较可行性、合理性、能够基本满足本项目采购需求内容，为本项目制定较完善的方案，完整和实用的得3分；内容基本完整、思路清晰、可行性较好的得2分；有整体方案，但方案内容模糊，没有针对本项目主要工作内容制定，内容不详实、不完整、内容不全面的1分。没有内容的不</w:t>
      </w:r>
      <w:r>
        <w:rPr>
          <w:rFonts w:hint="eastAsia" w:ascii="Times New Roman" w:hAnsi="Times New Roman" w:eastAsia="宋体" w:cs="Times New Roman"/>
          <w:b w:val="0"/>
          <w:bCs w:val="0"/>
          <w:color w:val="000000"/>
          <w:sz w:val="24"/>
          <w:szCs w:val="24"/>
          <w:highlight w:val="none"/>
          <w:lang w:val="en-US" w:eastAsia="zh-CN"/>
        </w:rPr>
        <w:t xml:space="preserve">得分。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2.2.8售后服务方案（2分）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根据各投标人提供售后服务方案（如：①售后服务具体方案②售后服务承诺③售后服务团队介绍等）打分，方案内容详细完整、详细，完全满足项目实际需求的得2分；内容基本完整、思路清晰、可行性较好的得1分；有整体方案，但方案内容模糊，没有针对本项目主要工作内容制定，内容不详实、不完整、内容不全面的0.5分。没有内容的不得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2.2.9备件耗材配置（3分）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为确保现场设备运维稳定，提供科学准确的监测数据指导采购单位开展大气管控相关工作，根据投标人提供的满足项目基础备品备件及耗材明细清单进行评价，清单应包含名称、数量、厂家、配件型号及价格等。</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清单完整、适应性强、配套性高，具有该项目所需的耗材、配件等长期技术服务及可以提供备品备件支持的证明材料的，得3分；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清单基本完整，具备一定的适应性、配套性，得2分；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清单完整度一般、适应性及配套有欠缺，无材料支撑的得1分；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不提供的不得分。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2.3商务部分（10分）</w:t>
      </w:r>
      <w:r>
        <w:rPr>
          <w:rFonts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2.3.1拟投入本项目人员（5分）</w:t>
      </w:r>
      <w:r>
        <w:rPr>
          <w:rFonts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（1）项目负责人（1分）：供应商或投标产品制造商为本项目配备的项目经理具备高级环保工程师证书的，每有一个得1分，本项最高得1分。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项目组技术负责人（2分）：供应商或投标产品制造商为本项目配备的项目组技术负责人具备高级工程师及以上职称、具有中国环境监测总站颁发的环境空气自动监测培训合格证，每有一个得1分，本项最高得2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（3）拟投入本项目运维人员(2分）：供应商或投标产品制造商为本项目配备2名运维人员，运维人员需具备“环境空气质量自动监测运维与质控技术”培训合格证的，每有1个得1分，本项最高得2分。</w:t>
      </w:r>
      <w:r>
        <w:rPr>
          <w:rFonts w:hint="eastAsia" w:ascii="Times New Roman" w:hAnsi="Times New Roman" w:eastAsia="宋体" w:cs="Times New Roman"/>
          <w:b w:val="0"/>
          <w:bCs w:val="0"/>
          <w:color w:val="000000"/>
          <w:sz w:val="24"/>
          <w:szCs w:val="24"/>
          <w:highlight w:val="none"/>
          <w:lang w:val="en-US" w:eastAsia="zh-CN"/>
        </w:rPr>
      </w:r>
      <w:r/>
    </w:p>
    <w:p>
      <w:pPr>
        <w:pStyle w:val="1225"/>
        <w:numPr>
          <w:ilvl w:val="0"/>
          <w:numId w:val="0"/>
        </w:numPr>
        <w:ind w:firstLine="482"/>
        <w:keepLines w:val="0"/>
        <w:keepNext w:val="0"/>
        <w:pageBreakBefore w:val="0"/>
        <w:spacing w:line="440" w:lineRule="exact"/>
        <w:widowControl w:val="off"/>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注：以上人员需提供证书及近6个月以来任意1个月的社保证明，加盖公章上传至系统相应位置。</w:t>
      </w:r>
      <w:r>
        <w:rPr>
          <w:rFonts w:hint="eastAsia" w:ascii="Times New Roman" w:hAnsi="Times New Roman" w:eastAsia="宋体" w:cs="Times New Roman"/>
          <w:b/>
          <w:bCs/>
          <w:color w:val="000000"/>
          <w:sz w:val="24"/>
          <w:szCs w:val="24"/>
          <w:highlight w:val="none"/>
          <w:lang w:val="en-US" w:eastAsia="zh-CN"/>
        </w:rPr>
      </w:r>
      <w:r/>
    </w:p>
    <w:p>
      <w:pPr>
        <w:pStyle w:val="1225"/>
        <w:numPr>
          <w:ilvl w:val="0"/>
          <w:numId w:val="0"/>
        </w:numPr>
        <w:ind w:firstLine="480"/>
        <w:keepLines w:val="0"/>
        <w:keepNext w:val="0"/>
        <w:pageBreakBefore w:val="0"/>
        <w:spacing w:line="440" w:lineRule="exact"/>
        <w:widowControl w:val="off"/>
        <w:rPr>
          <w:rFonts w:hint="eastAsia" w:ascii="Times New Roman" w:hAnsi="Times New Roman" w:eastAsia="宋体" w:cs="Times New Roman"/>
          <w:b w:val="0"/>
          <w:bCs w:val="0"/>
          <w:color w:val="000000"/>
          <w:sz w:val="24"/>
          <w:szCs w:val="24"/>
          <w:highlight w:val="none"/>
          <w:lang w:val="zh-CN" w:eastAsia="zh-CN"/>
        </w:rPr>
      </w:pPr>
      <w:r>
        <w:rPr>
          <w:rFonts w:hint="eastAsia" w:ascii="Times New Roman" w:hAnsi="Times New Roman" w:eastAsia="宋体"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lang w:val="zh-CN" w:eastAsia="zh-CN"/>
        </w:rPr>
        <w:t xml:space="preserve">.</w:t>
      </w:r>
      <w:r>
        <w:rPr>
          <w:rFonts w:hint="eastAsia" w:ascii="Times New Roman" w:hAnsi="Times New Roman" w:eastAsia="宋体"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lang w:val="zh-CN" w:eastAsia="zh-CN"/>
        </w:rPr>
        <w:t xml:space="preserve">.2往期案例分析（</w:t>
      </w:r>
      <w:r>
        <w:rPr>
          <w:rFonts w:hint="eastAsia" w:ascii="Times New Roman" w:hAnsi="Times New Roman" w:eastAsia="宋体" w:cs="Times New Roman"/>
          <w:b w:val="0"/>
          <w:bCs w:val="0"/>
          <w:color w:val="000000"/>
          <w:sz w:val="24"/>
          <w:szCs w:val="24"/>
          <w:highlight w:val="none"/>
          <w:lang w:val="en-US" w:eastAsia="zh-CN"/>
        </w:rPr>
        <w:t xml:space="preserve">5</w:t>
      </w:r>
      <w:r>
        <w:rPr>
          <w:rFonts w:hint="eastAsia" w:ascii="Times New Roman" w:hAnsi="Times New Roman" w:eastAsia="宋体" w:cs="Times New Roman"/>
          <w:b w:val="0"/>
          <w:bCs w:val="0"/>
          <w:color w:val="000000"/>
          <w:sz w:val="24"/>
          <w:szCs w:val="24"/>
          <w:highlight w:val="none"/>
          <w:lang w:val="zh-CN" w:eastAsia="zh-CN"/>
        </w:rPr>
        <w:t xml:space="preserve">分）</w:t>
      </w:r>
      <w:r>
        <w:rPr>
          <w:rFonts w:hint="eastAsia" w:ascii="Times New Roman" w:hAnsi="Times New Roman" w:eastAsia="宋体" w:cs="Times New Roman"/>
          <w:b w:val="0"/>
          <w:bCs w:val="0"/>
          <w:color w:val="000000"/>
          <w:sz w:val="24"/>
          <w:szCs w:val="24"/>
          <w:highlight w:val="none"/>
          <w:lang w:val="zh-CN" w:eastAsia="zh-CN"/>
        </w:rPr>
      </w:r>
      <w:r/>
    </w:p>
    <w:p>
      <w:pPr>
        <w:pStyle w:val="1225"/>
        <w:ind w:firstLine="480"/>
        <w:spacing w:line="440" w:lineRule="exact"/>
        <w:rPr>
          <w:rFonts w:hint="eastAsia" w:ascii="Times New Roman" w:hAnsi="Times New Roman" w:eastAsia="宋体" w:cs="Times New Roman"/>
          <w:b/>
          <w:bCs/>
          <w:strike w:val="0"/>
          <w:sz w:val="24"/>
          <w:szCs w:val="24"/>
          <w:highlight w:val="none"/>
        </w:rPr>
      </w:pPr>
      <w:r>
        <w:rPr>
          <w:rFonts w:hint="eastAsia" w:ascii="Times New Roman" w:hAnsi="Times New Roman" w:eastAsia="宋体" w:cs="Times New Roman"/>
          <w:b w:val="0"/>
          <w:bCs w:val="0"/>
          <w:strike w:val="0"/>
          <w:sz w:val="24"/>
          <w:szCs w:val="24"/>
          <w:highlight w:val="none"/>
          <w:lang w:val="en-US" w:eastAsia="zh-CN"/>
        </w:rPr>
        <w:t xml:space="preserve">根据各响应供应商提供的承担过往期案例分析进行综合评价，有与本项目内容相关、规模相当的证明材料支撑的，且对往期案例分析详尽、有针对性的得5分；有与本项目内容相关、规模相当的证明材料支撑的，且对往期案例分析比较详细、有一定针对性的得3分；有与本项目内容相关、规模相当的证明材料支撑的，案例分析较简单的得</w:t>
      </w:r>
      <w:r>
        <w:rPr>
          <w:rFonts w:hint="eastAsia" w:cs="Times New Roman"/>
          <w:b w:val="0"/>
          <w:bCs w:val="0"/>
          <w:strike w:val="0"/>
          <w:sz w:val="24"/>
          <w:szCs w:val="24"/>
          <w:highlight w:val="none"/>
          <w:lang w:val="en-US" w:eastAsia="zh-CN"/>
        </w:rPr>
        <w:t xml:space="preserve">2</w:t>
      </w:r>
      <w:r>
        <w:rPr>
          <w:rFonts w:hint="eastAsia" w:ascii="Times New Roman" w:hAnsi="Times New Roman" w:eastAsia="宋体" w:cs="Times New Roman"/>
          <w:b w:val="0"/>
          <w:bCs w:val="0"/>
          <w:strike w:val="0"/>
          <w:sz w:val="24"/>
          <w:szCs w:val="24"/>
          <w:highlight w:val="none"/>
          <w:lang w:val="en-US" w:eastAsia="zh-CN"/>
        </w:rPr>
        <w:t xml:space="preserve">分；仅提供类似案例、无分析的得</w:t>
      </w:r>
      <w:r>
        <w:rPr>
          <w:rFonts w:hint="eastAsia" w:cs="Times New Roman"/>
          <w:b w:val="0"/>
          <w:bCs w:val="0"/>
          <w:strike w:val="0"/>
          <w:sz w:val="24"/>
          <w:szCs w:val="24"/>
          <w:highlight w:val="none"/>
          <w:lang w:val="en-US" w:eastAsia="zh-CN"/>
        </w:rPr>
        <w:t xml:space="preserve">1</w:t>
      </w:r>
      <w:r>
        <w:rPr>
          <w:rFonts w:hint="eastAsia" w:ascii="Times New Roman" w:hAnsi="Times New Roman" w:eastAsia="宋体" w:cs="Times New Roman"/>
          <w:b w:val="0"/>
          <w:bCs w:val="0"/>
          <w:strike w:val="0"/>
          <w:sz w:val="24"/>
          <w:szCs w:val="24"/>
          <w:highlight w:val="none"/>
          <w:lang w:val="en-US" w:eastAsia="zh-CN"/>
        </w:rPr>
        <w:t xml:space="preserve">分；往期未做过类似案例但针对本项目有一些其他经验分析的得</w:t>
      </w:r>
      <w:r>
        <w:rPr>
          <w:rFonts w:hint="eastAsia" w:cs="Times New Roman"/>
          <w:b w:val="0"/>
          <w:bCs w:val="0"/>
          <w:strike w:val="0"/>
          <w:sz w:val="24"/>
          <w:szCs w:val="24"/>
          <w:highlight w:val="none"/>
          <w:lang w:val="en-US" w:eastAsia="zh-CN"/>
        </w:rPr>
        <w:t xml:space="preserve">0.5</w:t>
      </w:r>
      <w:r>
        <w:rPr>
          <w:rFonts w:hint="eastAsia" w:ascii="Times New Roman" w:hAnsi="Times New Roman" w:eastAsia="宋体" w:cs="Times New Roman"/>
          <w:b w:val="0"/>
          <w:bCs w:val="0"/>
          <w:strike w:val="0"/>
          <w:sz w:val="24"/>
          <w:szCs w:val="24"/>
          <w:highlight w:val="none"/>
          <w:lang w:val="en-US" w:eastAsia="zh-CN"/>
        </w:rPr>
        <w:t xml:space="preserve">分；未提供任何案例及分析的不得分。</w:t>
      </w:r>
      <w:r>
        <w:rPr>
          <w:rFonts w:hint="eastAsia" w:ascii="Times New Roman" w:hAnsi="Times New Roman" w:eastAsia="宋体" w:cs="Times New Roman"/>
          <w:b/>
          <w:bCs/>
          <w:strike w:val="0"/>
          <w:sz w:val="24"/>
          <w:szCs w:val="24"/>
          <w:highlight w:val="none"/>
          <w:lang w:val="en-US" w:eastAsia="zh-CN"/>
        </w:rPr>
        <w:br w:type="textWrapping" w:clear="all"/>
      </w:r>
      <w:r>
        <w:rPr>
          <w:rFonts w:hint="eastAsia" w:ascii="Times New Roman" w:hAnsi="Times New Roman" w:eastAsia="宋体" w:cs="Times New Roman"/>
          <w:b/>
          <w:bCs/>
          <w:strike w:val="0"/>
          <w:sz w:val="24"/>
          <w:szCs w:val="24"/>
          <w:highlight w:val="none"/>
          <w:lang w:val="en-US" w:eastAsia="zh-CN"/>
        </w:rPr>
        <w:t xml:space="preserve">  注：对往期案例数量不作要求，须提供往期案例项目的合同扫描件加盖公章。</w:t>
      </w:r>
      <w:r>
        <w:rPr>
          <w:rFonts w:hint="eastAsia" w:ascii="Times New Roman" w:hAnsi="Times New Roman" w:eastAsia="宋体" w:cs="Times New Roman"/>
          <w:b/>
          <w:bCs/>
          <w:strike w:val="0"/>
          <w:sz w:val="24"/>
          <w:szCs w:val="24"/>
          <w:highlight w:val="none"/>
        </w:rPr>
      </w:r>
      <w:r/>
    </w:p>
    <w:p>
      <w:pPr>
        <w:pStyle w:val="1225"/>
        <w:ind w:firstLine="480"/>
        <w:spacing w:line="440" w:lineRule="exact"/>
        <w:rPr>
          <w:rFonts w:hint="eastAsia"/>
          <w:sz w:val="24"/>
          <w:szCs w:val="24"/>
          <w:highlight w:val="none"/>
          <w:lang w:val="zh-CN"/>
        </w:rPr>
      </w:pPr>
      <w:r>
        <w:rPr>
          <w:rFonts w:hint="eastAsia"/>
          <w:sz w:val="24"/>
          <w:szCs w:val="24"/>
          <w:highlight w:val="none"/>
          <w:lang w:val="zh-CN"/>
        </w:rPr>
        <w:t xml:space="preserve">评审后按累计得分高低顺序排名。得分相同的，按最终报价由低到高顺序排名，得分且最终报价相同的，按技术方案优劣顺序排名。技术方案的优劣顺序由评标小组按少数服从多数的原则确定。</w:t>
      </w:r>
      <w:r>
        <w:rPr>
          <w:rFonts w:hint="eastAsia"/>
          <w:sz w:val="24"/>
          <w:szCs w:val="24"/>
          <w:highlight w:val="none"/>
          <w:lang w:val="zh-CN"/>
        </w:rPr>
      </w:r>
      <w:r/>
    </w:p>
    <w:p>
      <w:pPr>
        <w:pStyle w:val="1225"/>
      </w:p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94"/>
        <w:ind w:firstLine="640"/>
        <w:rPr>
          <w:rFonts w:hint="eastAsia"/>
          <w:color w:val="000000"/>
          <w:highlight w:val="none"/>
        </w:rPr>
      </w:pPr>
      <w:r>
        <w:rPr>
          <w:rFonts w:hint="eastAsia"/>
          <w:color w:val="000000"/>
          <w:highlight w:val="none"/>
        </w:rPr>
      </w:r>
      <w:r/>
    </w:p>
    <w:p>
      <w:pPr>
        <w:pStyle w:val="1225"/>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225"/>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225"/>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22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22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2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2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2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25"/>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镇江市扬中生态环境局空气自动站设备更新项目</w:t>
      </w:r>
      <w:r>
        <w:rPr>
          <w:rFonts w:hint="eastAsia" w:ascii="宋体" w:hAnsi="宋体" w:eastAsia="宋体"/>
          <w:b/>
          <w:color w:val="000000"/>
          <w:sz w:val="32"/>
          <w:szCs w:val="32"/>
          <w:highlight w:val="none"/>
          <w:lang w:eastAsia="zh-CN"/>
        </w:rPr>
      </w:r>
      <w:r/>
    </w:p>
    <w:p>
      <w:pPr>
        <w:pStyle w:val="1225"/>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JSZC-321182-JJGS-G2026-0012</w:t>
      </w:r>
      <w:r>
        <w:rPr>
          <w:rFonts w:hint="eastAsia" w:ascii="宋体" w:hAnsi="宋体" w:eastAsia="宋体"/>
          <w:b/>
          <w:color w:val="000000"/>
          <w:sz w:val="32"/>
          <w:szCs w:val="32"/>
          <w:highlight w:val="none"/>
          <w:u w:val="single"/>
          <w:lang w:eastAsia="zh-CN"/>
        </w:rPr>
      </w:r>
      <w:r/>
    </w:p>
    <w:p>
      <w:pPr>
        <w:pStyle w:val="122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22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2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2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225"/>
        <w:rPr>
          <w:rFonts w:ascii="宋体" w:hAnsi="宋体"/>
          <w:b/>
          <w:bCs/>
          <w:color w:val="000000"/>
          <w:sz w:val="24"/>
          <w:szCs w:val="24"/>
          <w:highlight w:val="none"/>
        </w:rPr>
      </w:pPr>
      <w:r>
        <w:rPr>
          <w:rFonts w:ascii="宋体" w:hAnsi="宋体"/>
          <w:b/>
          <w:bCs/>
          <w:color w:val="000000"/>
          <w:sz w:val="24"/>
          <w:szCs w:val="24"/>
          <w:highlight w:val="none"/>
        </w:rPr>
      </w:r>
      <w:r/>
    </w:p>
    <w:p>
      <w:pPr>
        <w:pStyle w:val="1225"/>
        <w:spacing w:line="440" w:lineRule="exact"/>
        <w:rPr>
          <w:rFonts w:hint="eastAsia"/>
          <w:color w:val="000000"/>
          <w:highlight w:val="none"/>
        </w:rPr>
      </w:pPr>
      <w:r>
        <w:rPr>
          <w:rFonts w:hint="eastAsia"/>
          <w:color w:val="000000"/>
          <w:highlight w:val="none"/>
        </w:rPr>
      </w:r>
      <w:r/>
    </w:p>
    <w:p>
      <w:pPr>
        <w:pStyle w:val="1225"/>
        <w:spacing w:line="440" w:lineRule="exact"/>
        <w:rPr>
          <w:rFonts w:hint="eastAsia"/>
          <w:color w:val="000000"/>
          <w:highlight w:val="none"/>
        </w:rPr>
      </w:pPr>
      <w:r>
        <w:rPr>
          <w:rFonts w:hint="eastAsia"/>
          <w:color w:val="000000"/>
          <w:highlight w:val="none"/>
        </w:rPr>
      </w:r>
      <w:r/>
    </w:p>
    <w:p>
      <w:pPr>
        <w:pStyle w:val="1225"/>
        <w:spacing w:line="440" w:lineRule="exact"/>
        <w:rPr>
          <w:rFonts w:ascii="宋体" w:hAnsi="宋体"/>
          <w:b/>
          <w:bCs/>
          <w:color w:val="000000"/>
          <w:sz w:val="32"/>
          <w:szCs w:val="32"/>
          <w:highlight w:val="none"/>
        </w:rPr>
      </w:pPr>
      <w:r/>
      <w:bookmarkEnd w:id="197"/>
      <w:r/>
      <w:bookmarkEnd w:id="198"/>
      <w:r/>
      <w:bookmarkEnd w:id="199"/>
      <w:r/>
      <w:bookmarkStart w:id="205" w:name="_Toc120614282"/>
      <w:r/>
      <w:bookmarkStart w:id="206" w:name="_Toc26554094"/>
      <w:r/>
      <w:bookmarkStart w:id="207" w:name="_Toc49090576"/>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2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2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2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22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22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22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rPr>
          <w:rFonts w:hint="eastAsia" w:ascii="宋体" w:hAnsi="宋体"/>
          <w:i/>
          <w:color w:val="000000"/>
          <w:sz w:val="24"/>
          <w:highlight w:val="none"/>
          <w:u w:val="single"/>
        </w:rPr>
      </w:r>
      <w:r/>
    </w:p>
    <w:p>
      <w:pPr>
        <w:pStyle w:val="122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22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22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22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22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22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22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十一、联合体协议</w:t>
      </w:r>
      <w:r>
        <w:rPr>
          <w:rFonts w:hint="eastAsia" w:ascii="宋体" w:hAnsi="宋体"/>
          <w:iCs/>
          <w:color w:val="000000"/>
          <w:sz w:val="24"/>
          <w:highlight w:val="none"/>
        </w:rPr>
      </w:r>
      <w:r/>
    </w:p>
    <w:p>
      <w:pPr>
        <w:pStyle w:val="122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十二、投标分项报价表</w:t>
      </w:r>
      <w:r>
        <w:rPr>
          <w:rFonts w:hint="eastAsia" w:ascii="宋体" w:hAnsi="宋体"/>
          <w:iCs/>
          <w:color w:val="000000"/>
          <w:sz w:val="24"/>
          <w:highlight w:val="none"/>
        </w:rPr>
      </w:r>
      <w:r/>
    </w:p>
    <w:p>
      <w:pPr>
        <w:pStyle w:val="122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十三、技术要求响应及偏离表</w:t>
      </w:r>
      <w:r>
        <w:rPr>
          <w:rFonts w:hint="eastAsia" w:ascii="宋体" w:hAnsi="宋体"/>
          <w:iCs/>
          <w:color w:val="000000"/>
          <w:sz w:val="24"/>
          <w:highlight w:val="none"/>
        </w:rPr>
      </w:r>
      <w:r/>
    </w:p>
    <w:p>
      <w:pPr>
        <w:pStyle w:val="122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十四、商务要求响应及偏离表</w:t>
      </w:r>
      <w:r>
        <w:rPr>
          <w:rFonts w:ascii="宋体" w:hAnsi="宋体"/>
          <w:iCs/>
          <w:color w:val="000000"/>
          <w:sz w:val="24"/>
          <w:highlight w:val="none"/>
        </w:rPr>
      </w:r>
      <w:r/>
    </w:p>
    <w:p>
      <w:pPr>
        <w:pStyle w:val="1225"/>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十五、开标一览表</w:t>
      </w:r>
      <w:r>
        <w:rPr>
          <w:rFonts w:ascii="宋体" w:hAnsi="宋体"/>
          <w:i/>
          <w:color w:val="000000"/>
          <w:sz w:val="24"/>
          <w:highlight w:val="none"/>
          <w:u w:val="single"/>
        </w:rPr>
      </w:r>
      <w:r/>
    </w:p>
    <w:p>
      <w:pPr>
        <w:pStyle w:val="122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十六、资格承诺函</w:t>
      </w:r>
      <w:r>
        <w:rPr>
          <w:rFonts w:ascii="宋体" w:hAnsi="宋体"/>
          <w:iCs/>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ascii="宋体" w:hAnsi="宋体"/>
          <w:color w:val="000000"/>
          <w:sz w:val="24"/>
          <w:highlight w:val="none"/>
        </w:rPr>
      </w:r>
      <w:r/>
    </w:p>
    <w:p>
      <w:pPr>
        <w:pStyle w:val="1225"/>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ascii="宋体" w:hAnsi="宋体"/>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w:t>
      </w:r>
      <w:r>
        <w:rPr>
          <w:rFonts w:ascii="宋体" w:hAnsi="宋体"/>
          <w:bCs/>
          <w:color w:val="000000"/>
          <w:sz w:val="24"/>
          <w:szCs w:val="24"/>
          <w:highlight w:val="none"/>
        </w:rPr>
      </w:r>
      <w:r/>
    </w:p>
    <w:p>
      <w:pPr>
        <w:pStyle w:val="122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w:t>
      </w:r>
      <w:r>
        <w:rPr>
          <w:rFonts w:ascii="宋体" w:hAnsi="宋体"/>
          <w:bCs/>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应当遵循诚实信用原则，不得作虚假承诺。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225"/>
        <w:numPr>
          <w:ilvl w:val="0"/>
          <w:numId w:val="11"/>
        </w:numPr>
        <w:ind w:firstLine="480"/>
        <w:spacing w:line="440" w:lineRule="exact"/>
        <w:rPr>
          <w:rFonts w:hint="eastAsia"/>
          <w:lang w:val="en-US" w:eastAsia="zh-CN"/>
        </w:rPr>
      </w:pPr>
      <w:r>
        <w:rPr>
          <w:rFonts w:hint="eastAsia" w:ascii="宋体" w:hAnsi="宋体"/>
          <w:color w:val="000000"/>
          <w:sz w:val="24"/>
          <w:szCs w:val="24"/>
          <w:highlight w:val="none"/>
        </w:rPr>
        <w:t xml:space="preserve">特定资格要求的证明文件</w:t>
      </w:r>
      <w:r>
        <w:rPr>
          <w:rFonts w:hint="eastAsia" w:ascii="宋体" w:hAnsi="宋体"/>
          <w:color w:val="000000"/>
          <w:sz w:val="24"/>
          <w:szCs w:val="24"/>
          <w:highlight w:val="none"/>
          <w:lang w:val="en-US" w:eastAsia="zh-CN"/>
        </w:rPr>
        <w:t xml:space="preserve">:详见采购公告</w:t>
      </w:r>
      <w:r>
        <w:rPr>
          <w:rFonts w:hint="eastAsia"/>
          <w:lang w:val="en-US" w:eastAsia="zh-CN"/>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如果本项目申请人的特定资格要求中要求提供的，必须提供。</w:t>
      </w:r>
      <w:r>
        <w:rPr>
          <w:rFonts w:hint="eastAsia" w:ascii="宋体" w:hAnsi="宋体"/>
          <w:color w:val="000000"/>
          <w:sz w:val="24"/>
          <w:szCs w:val="24"/>
          <w:highlight w:val="none"/>
        </w:rPr>
      </w:r>
      <w:r/>
    </w:p>
    <w:p>
      <w:pPr>
        <w:pStyle w:val="1225"/>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5"/>
      <w:r/>
      <w:bookmarkEnd w:id="206"/>
      <w:r/>
      <w:bookmarkEnd w:id="207"/>
      <w:r/>
      <w:bookmarkStart w:id="208"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324"/>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镇江市扬中生态环境局空气自动站设备更新项目</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324"/>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324"/>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24"/>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24"/>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324"/>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24"/>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9" w:name="_Hlt26955070"/>
      <w:r/>
      <w:bookmarkEnd w:id="209"/>
      <w:r/>
      <w:bookmarkStart w:id="210" w:name="_Hlt26671380"/>
      <w:r/>
      <w:bookmarkEnd w:id="210"/>
      <w:r/>
      <w:bookmarkStart w:id="211" w:name="_格式3__银行出具的资信证明"/>
      <w:r/>
      <w:bookmarkEnd w:id="211"/>
      <w:r>
        <w:rPr>
          <w:rFonts w:hint="eastAsia"/>
          <w:color w:val="000000"/>
          <w:sz w:val="24"/>
          <w:szCs w:val="24"/>
          <w:highlight w:val="none"/>
          <w:u w:val="single"/>
        </w:rPr>
        <w:t xml:space="preserve">                                         </w:t>
      </w:r>
      <w:r>
        <w:rPr>
          <w:rFonts w:hint="eastAsia"/>
          <w:color w:val="000000"/>
          <w:sz w:val="24"/>
          <w:szCs w:val="24"/>
          <w:highlight w:val="none"/>
        </w:rPr>
      </w:r>
      <w:r/>
    </w:p>
    <w:p>
      <w:pPr>
        <w:pStyle w:val="1244"/>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244"/>
        <w:ind w:firstLine="0"/>
        <w:spacing w:line="440" w:lineRule="exact"/>
        <w:rPr>
          <w:rFonts w:hint="eastAsia"/>
          <w:color w:val="000000"/>
          <w:highlight w:val="none"/>
        </w:rPr>
      </w:pPr>
      <w:r>
        <w:rPr>
          <w:rFonts w:hint="eastAsia"/>
          <w:color w:val="000000"/>
          <w:highlight w:val="none"/>
        </w:rPr>
      </w:r>
      <w:r/>
    </w:p>
    <w:p>
      <w:pPr>
        <w:pStyle w:val="1225"/>
        <w:spacing w:line="440" w:lineRule="exact"/>
        <w:rPr>
          <w:rFonts w:hint="eastAsia"/>
          <w:color w:val="000000"/>
          <w:highlight w:val="none"/>
        </w:rPr>
      </w:pPr>
      <w:r>
        <w:rPr>
          <w:rFonts w:hint="eastAsia"/>
          <w:color w:val="000000"/>
          <w:highlight w:val="none"/>
        </w:rPr>
      </w:r>
      <w:r/>
    </w:p>
    <w:p>
      <w:pPr>
        <w:pStyle w:val="1225"/>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7"/>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328"/>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镇江市扬中生态环境局空气自动站设备更新项目</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328"/>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我公司郑重声明：参加本次政府活动前三年内，在经营活动中没有重大违法记录。</w:t>
      </w:r>
      <w:r>
        <w:rPr>
          <w:rFonts w:ascii="宋体" w:hAnsi="宋体"/>
          <w:color w:val="000000"/>
          <w:szCs w:val="21"/>
          <w:highlight w:val="none"/>
        </w:rPr>
      </w:r>
      <w:r/>
    </w:p>
    <w:p>
      <w:pPr>
        <w:pStyle w:val="1328"/>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328"/>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22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25"/>
        <w:jc w:val="center"/>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22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九、中小企业声明函（货物）（分包号：**）</w:t>
      </w:r>
      <w:r>
        <w:rPr>
          <w:rFonts w:hint="eastAsia" w:ascii="黑体" w:hAnsi="黑体" w:eastAsia="黑体"/>
          <w:b/>
          <w:color w:val="000000"/>
          <w:sz w:val="32"/>
          <w:szCs w:val="32"/>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本公司（联合体）郑重声明，根据《政府促进中小企业发展管理办法》(财库[2020]46号)的规定，本</w:t>
      </w:r>
      <w:r>
        <w:rPr>
          <w:rFonts w:hint="eastAsia" w:ascii="宋体" w:hAnsi="宋体"/>
          <w:color w:val="000000"/>
          <w:sz w:val="24"/>
          <w:szCs w:val="24"/>
          <w:highlight w:val="none"/>
        </w:rPr>
        <w:t xml:space="preserve">公司（联合体）参加江苏金居工程项目管理有限公司代理机构组织的</w:t>
      </w:r>
      <w:r>
        <w:rPr>
          <w:rFonts w:hint="eastAsia" w:ascii="宋体" w:hAnsi="宋体"/>
          <w:color w:val="000000"/>
          <w:sz w:val="24"/>
          <w:szCs w:val="24"/>
          <w:highlight w:val="none"/>
          <w:lang w:eastAsia="zh-CN"/>
        </w:rPr>
        <w:t xml:space="preserve"> 镇江市扬中生态环境局</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JSZC-321182-JJGS-G2026-0012</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镇江市扬中生态环境局空气自动站设备更新项目</w:t>
      </w:r>
      <w:r>
        <w:rPr>
          <w:rFonts w:hint="eastAsia" w:ascii="宋体" w:hAnsi="宋体"/>
          <w:color w:val="000000"/>
          <w:sz w:val="24"/>
          <w:szCs w:val="24"/>
          <w:highlight w:val="none"/>
          <w:u w:val="single"/>
        </w:rPr>
        <w:t xml:space="preserve">）（分包号：**）</w:t>
      </w:r>
      <w:r>
        <w:rPr>
          <w:rFonts w:hint="eastAsia" w:ascii="宋体" w:hAnsi="宋体"/>
          <w:color w:val="000000"/>
          <w:sz w:val="24"/>
          <w:szCs w:val="24"/>
          <w:highlight w:val="none"/>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122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镇江市扬中生态环境局空气自动站设备更新项目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2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镇江市扬中生态环境局空气自动站设备更新项目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22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22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22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225"/>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如不提供此声明函，价格将不做相应扣除。</w:t>
      </w:r>
      <w:r>
        <w:rPr>
          <w:rFonts w:hint="eastAsia" w:ascii="宋体" w:hAnsi="宋体"/>
          <w:color w:val="000000"/>
          <w:sz w:val="24"/>
          <w:szCs w:val="24"/>
          <w:highlight w:val="none"/>
        </w:rPr>
      </w:r>
      <w:r/>
    </w:p>
    <w:p>
      <w:pPr>
        <w:pStyle w:val="1225"/>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十、残疾人福利性单位声明函（分包号：**）</w:t>
      </w:r>
      <w:r>
        <w:rPr>
          <w:rFonts w:hint="eastAsia" w:ascii="黑体" w:hAnsi="黑体" w:eastAsia="黑体"/>
          <w:b/>
          <w:color w:val="000000"/>
          <w:sz w:val="32"/>
          <w:szCs w:val="32"/>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 镇江市扬中生态环境局</w:t>
      </w:r>
      <w:r>
        <w:rPr>
          <w:rFonts w:hint="eastAsia" w:ascii="宋体" w:hAnsi="宋体"/>
          <w:color w:val="000000"/>
          <w:sz w:val="24"/>
          <w:highlight w:val="none"/>
        </w:rPr>
        <w:t xml:space="preserve">单位的文件编号为_</w:t>
      </w:r>
      <w:r>
        <w:rPr>
          <w:rFonts w:hint="eastAsia" w:ascii="宋体" w:hAnsi="宋体"/>
          <w:color w:val="000000"/>
          <w:sz w:val="24"/>
          <w:szCs w:val="24"/>
          <w:highlight w:val="none"/>
          <w:u w:val="single"/>
          <w:lang w:eastAsia="zh-CN"/>
        </w:rPr>
        <w:t xml:space="preserve">镇江市扬中生态环境局空气自动站设备更新项目</w:t>
      </w:r>
      <w:r>
        <w:rPr>
          <w:rFonts w:hint="eastAsia" w:ascii="宋体" w:hAnsi="宋体"/>
          <w:color w:val="000000"/>
          <w:sz w:val="24"/>
          <w:highlight w:val="none"/>
        </w:rPr>
        <w:t xml:space="preserve">_（分包号：**）活动由本单位提供服务。</w:t>
      </w:r>
      <w:r>
        <w:rPr>
          <w:rFonts w:hint="eastAsia"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22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2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225"/>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25"/>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rPr>
          <w:rFonts w:ascii="宋体" w:hAnsi="宋体"/>
          <w:color w:val="000000"/>
          <w:sz w:val="24"/>
          <w:highlight w:val="none"/>
        </w:rPr>
      </w:r>
      <w:r/>
    </w:p>
    <w:p>
      <w:pPr>
        <w:pStyle w:val="1225"/>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十一、关于符合本国产品标准的声明函</w:t>
      </w:r>
      <w:r>
        <w:rPr>
          <w:rFonts w:hint="eastAsia" w:ascii="黑体" w:hAnsi="黑体" w:eastAsia="黑体"/>
          <w:b/>
          <w:color w:val="000000"/>
          <w:sz w:val="32"/>
          <w:szCs w:val="32"/>
          <w:highlight w:val="none"/>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2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b w:val="0"/>
          <w:position w:val="0"/>
          <w:sz w:val="21"/>
          <w:szCs w:val="21"/>
        </w:rPr>
      </w:r>
      <w:r/>
    </w:p>
    <w:p>
      <w:pPr>
        <w:pStyle w:val="122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2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4;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58250;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2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rPr>
      </w:r>
      <w:r/>
    </w:p>
    <w:p>
      <w:pPr>
        <w:pStyle w:val="122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25"/>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rPr>
          <w:rFonts w:hint="eastAsia" w:hAnsi="宋体"/>
          <w:b w:val="0"/>
          <w:position w:val="0"/>
          <w:sz w:val="21"/>
          <w:szCs w:val="21"/>
        </w:rPr>
      </w:r>
      <w:r/>
    </w:p>
    <w:p>
      <w:pPr>
        <w:pStyle w:val="1225"/>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rPr>
          <w:rFonts w:hint="eastAsia" w:hAnsi="宋体"/>
          <w:b w:val="0"/>
          <w:position w:val="0"/>
          <w:sz w:val="21"/>
          <w:szCs w:val="21"/>
        </w:rPr>
      </w:r>
      <w:r/>
    </w:p>
    <w:p>
      <w:pPr>
        <w:pStyle w:val="1225"/>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rPr>
          <w:rFonts w:hint="eastAsia" w:hAnsi="宋体" w:cs="方正魏碑_GBK"/>
          <w:b w:val="0"/>
          <w:position w:val="0"/>
          <w:sz w:val="21"/>
          <w:szCs w:val="21"/>
        </w:rPr>
      </w:r>
      <w:r/>
    </w:p>
    <w:p>
      <w:pPr>
        <w:pStyle w:val="122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rPr>
          <w:rFonts w:hint="eastAsia" w:hAnsi="宋体" w:cs="方正魏碑_GBK"/>
          <w:b w:val="0"/>
          <w:position w:val="0"/>
          <w:sz w:val="21"/>
          <w:szCs w:val="21"/>
          <w:shd w:val="clear" w:color="auto" w:fill="ffffff"/>
        </w:rPr>
      </w:r>
      <w:r/>
    </w:p>
    <w:p>
      <w:pPr>
        <w:pStyle w:val="122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rPr>
          <w:rFonts w:hint="eastAsia" w:hAnsi="宋体" w:cs="方正魏碑_GBK"/>
          <w:b w:val="0"/>
          <w:position w:val="0"/>
          <w:sz w:val="21"/>
          <w:szCs w:val="21"/>
          <w:shd w:val="clear" w:color="auto" w:fill="ffffff"/>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pStyle w:val="1225"/>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eastAsia="zh-CN"/>
        </w:rPr>
        <w:t xml:space="preserve">十二、</w:t>
      </w:r>
      <w:r>
        <w:rPr>
          <w:rFonts w:hint="eastAsia" w:ascii="黑体" w:hAnsi="黑体" w:eastAsia="黑体"/>
          <w:b/>
          <w:color w:val="000000"/>
          <w:sz w:val="32"/>
          <w:szCs w:val="32"/>
          <w:highlight w:val="none"/>
        </w:rPr>
        <w:t xml:space="preserve">投标分项报价表（分包号：***）</w:t>
      </w:r>
      <w:r>
        <w:rPr>
          <w:rFonts w:hint="eastAsia" w:ascii="黑体" w:hAnsi="黑体" w:eastAsia="黑体"/>
          <w:b/>
          <w:color w:val="000000"/>
          <w:sz w:val="32"/>
          <w:szCs w:val="32"/>
          <w:highlight w:val="none"/>
        </w:rPr>
      </w:r>
      <w:r/>
    </w:p>
    <w:tbl>
      <w:tblPr>
        <w:tblpPr w:horzAnchor="page" w:tblpX="333" w:vertAnchor="text" w:tblpY="332" w:leftFromText="180" w:topFromText="0" w:rightFromText="180" w:bottomFromText="0"/>
        <w:tblW w:w="112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2291"/>
        <w:gridCol w:w="1173"/>
        <w:gridCol w:w="1173"/>
        <w:gridCol w:w="1173"/>
        <w:gridCol w:w="1173"/>
        <w:gridCol w:w="980"/>
        <w:gridCol w:w="980"/>
        <w:gridCol w:w="980"/>
      </w:tblGrid>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序号</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名称</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数量（套）</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品牌</w:t>
            </w:r>
            <w:r>
              <w:rPr>
                <w:rFonts w:hint="eastAsia" w:ascii="宋体" w:hAnsi="宋体" w:eastAsia="宋体" w:cs="Times New Roman"/>
                <w:color w:val="000000"/>
                <w:sz w:val="24"/>
                <w:szCs w:val="24"/>
                <w:highlight w:val="none"/>
                <w:lang w:val="en-US" w:eastAsia="zh-CN" w:bidi="ar-SA"/>
              </w:rPr>
            </w:r>
            <w:r/>
          </w:p>
        </w:tc>
        <w:tc>
          <w:tcPr>
            <w:tcW w:w="1173" w:type="dxa"/>
            <w:vAlign w:val="center"/>
            <w:textDirection w:val="lrTb"/>
            <w:noWrap w:val="false"/>
          </w:tcPr>
          <w:p>
            <w:pPr>
              <w:pStyle w:val="1225"/>
              <w:jc w:val="center"/>
              <w:spacing w:line="0" w:lineRule="atLeast"/>
              <w:rPr>
                <w:rFonts w:hint="eastAsia" w:ascii="宋体" w:hAnsi="宋体"/>
                <w:color w:val="000000"/>
                <w:sz w:val="24"/>
                <w:szCs w:val="24"/>
                <w:highlight w:val="none"/>
              </w:rPr>
              <w:framePr w:vAnchor="text" w:hAnchor="page" w:x="333" w:y="332"/>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型号</w:t>
            </w:r>
            <w:r>
              <w:rPr>
                <w:rFonts w:hint="eastAsia" w:ascii="宋体" w:hAnsi="宋体" w:eastAsia="宋体" w:cs="Times New Roman"/>
                <w:color w:val="000000"/>
                <w:sz w:val="24"/>
                <w:szCs w:val="24"/>
                <w:highlight w:val="none"/>
                <w:lang w:val="en-US" w:eastAsia="zh-CN" w:bidi="ar-SA"/>
              </w:rPr>
            </w:r>
            <w:r/>
          </w:p>
        </w:tc>
        <w:tc>
          <w:tcPr>
            <w:tcW w:w="1173" w:type="dxa"/>
            <w:vAlign w:val="center"/>
            <w:textDirection w:val="lrTb"/>
            <w:noWrap w:val="false"/>
          </w:tcPr>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产地</w:t>
            </w: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交付期</w:t>
            </w: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分项单价</w:t>
            </w:r>
            <w:r>
              <w:rPr>
                <w:rFonts w:hint="eastAsia" w:ascii="宋体" w:hAnsi="宋体" w:eastAsia="宋体" w:cs="Times New Roman"/>
                <w:color w:val="000000"/>
                <w:sz w:val="24"/>
                <w:szCs w:val="24"/>
                <w:highlight w:val="none"/>
                <w:lang w:val="en-US" w:eastAsia="zh-CN" w:bidi="ar-SA"/>
              </w:rPr>
            </w:r>
            <w:r/>
          </w:p>
        </w:tc>
        <w:tc>
          <w:tcPr>
            <w:tcW w:w="980" w:type="dxa"/>
            <w:vAlign w:val="center"/>
            <w:textDirection w:val="lrTb"/>
            <w:noWrap w:val="false"/>
          </w:tcPr>
          <w:p>
            <w:pPr>
              <w:pStyle w:val="1225"/>
              <w:jc w:val="center"/>
              <w:spacing w:line="0" w:lineRule="atLeast"/>
              <w:rPr>
                <w:rFonts w:hint="eastAsia" w:ascii="宋体" w:hAnsi="宋体" w:eastAsia="宋体" w:cs="Times New Roman"/>
                <w:color w:val="000000"/>
                <w:sz w:val="24"/>
                <w:szCs w:val="24"/>
                <w:highlight w:val="none"/>
                <w:lang w:val="en-US" w:eastAsia="zh-CN" w:bidi="ar-SA"/>
              </w:rPr>
              <w:framePr w:vAnchor="text" w:hAnchor="page" w:x="333" w:y="332"/>
            </w:pPr>
            <w:r>
              <w:rPr>
                <w:rFonts w:hint="eastAsia" w:ascii="宋体" w:hAnsi="宋体"/>
                <w:color w:val="000000"/>
                <w:sz w:val="24"/>
                <w:szCs w:val="24"/>
                <w:highlight w:val="none"/>
              </w:rPr>
              <w:t xml:space="preserve">分项总价</w:t>
            </w:r>
            <w:r>
              <w:rPr>
                <w:rFonts w:hint="eastAsia" w:ascii="宋体" w:hAnsi="宋体" w:eastAsia="宋体" w:cs="Times New Roman"/>
                <w:color w:val="000000"/>
                <w:sz w:val="24"/>
                <w:szCs w:val="24"/>
                <w:highlight w:val="none"/>
                <w:lang w:val="en-US" w:eastAsia="zh-CN" w:bidi="ar-SA"/>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SO2分析仪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39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NO-NO2-NOx分析仪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O3分析仪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4</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CO分析仪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PM2.5分析仪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6</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PM10分析仪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7</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动态校准仪</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零气发生器</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9</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气象五参数</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10</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机柜</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11</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UPS</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6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12</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稳压电源</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285"/>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13</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工控机及软件</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采样系统</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636"/>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15</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VPN设备</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57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16</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标气（8L）</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876"/>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17</w:t>
            </w:r>
            <w:r>
              <w:rPr>
                <w:rFonts w:hint="eastAsia" w:ascii="宋体" w:hAnsi="宋体" w:cs="宋体"/>
                <w:b w:val="0"/>
                <w:bCs/>
                <w:color w:val="000000"/>
                <w:sz w:val="24"/>
                <w:szCs w:val="24"/>
                <w:highlight w:val="none"/>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颗粒物比对</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120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framePr w:vAnchor="text" w:hAnchor="page" w:x="333" w:y="332"/>
            </w:pPr>
            <w:r>
              <w:rPr>
                <w:rFonts w:hint="eastAsia" w:ascii="宋体" w:hAnsi="宋体" w:cs="宋体"/>
                <w:b w:val="0"/>
                <w:bCs/>
                <w:color w:val="000000"/>
                <w:sz w:val="24"/>
                <w:szCs w:val="24"/>
                <w:highlight w:val="none"/>
                <w:lang w:val="en-US" w:eastAsia="zh-CN"/>
              </w:rPr>
              <w:t xml:space="preserve">18</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系统集成</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681"/>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framePr w:vAnchor="text" w:hAnchor="page" w:x="333" w:y="332"/>
            </w:pPr>
            <w:r>
              <w:rPr>
                <w:rFonts w:hint="eastAsia" w:ascii="宋体" w:hAnsi="宋体" w:cs="宋体"/>
                <w:b w:val="0"/>
                <w:bCs/>
                <w:color w:val="000000"/>
                <w:sz w:val="24"/>
                <w:szCs w:val="24"/>
                <w:highlight w:val="none"/>
                <w:lang w:val="en-US" w:eastAsia="zh-CN"/>
              </w:rPr>
              <w:t xml:space="preserve">19</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数据联网对接</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1140"/>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framePr w:vAnchor="text" w:hAnchor="page" w:x="333" w:y="332"/>
            </w:pPr>
            <w:r>
              <w:rPr>
                <w:rFonts w:hint="eastAsia" w:ascii="宋体" w:hAnsi="宋体" w:cs="宋体"/>
                <w:b w:val="0"/>
                <w:bCs/>
                <w:color w:val="000000"/>
                <w:sz w:val="24"/>
                <w:szCs w:val="24"/>
                <w:highlight w:val="none"/>
                <w:lang w:val="en-US" w:eastAsia="zh-CN"/>
              </w:rPr>
              <w:t xml:space="preserve">20</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异地试运行服务</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737"/>
        </w:trPr>
        <w:tc>
          <w:tcPr>
            <w:tcW w:w="1309"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ascii="宋体" w:hAnsi="宋体" w:cs="宋体"/>
                <w:b w:val="0"/>
                <w:bCs/>
                <w:color w:val="000000"/>
                <w:sz w:val="24"/>
                <w:szCs w:val="24"/>
                <w:highlight w:val="none"/>
                <w:lang w:val="en-US"/>
              </w:rPr>
              <w:framePr w:vAnchor="text" w:hAnchor="page" w:x="333" w:y="332"/>
            </w:pPr>
            <w:r>
              <w:rPr>
                <w:rFonts w:hint="eastAsia" w:ascii="宋体" w:hAnsi="宋体" w:cs="宋体"/>
                <w:b w:val="0"/>
                <w:bCs/>
                <w:color w:val="000000"/>
                <w:sz w:val="24"/>
                <w:szCs w:val="24"/>
                <w:highlight w:val="none"/>
                <w:lang w:val="en-US" w:eastAsia="zh-CN"/>
              </w:rPr>
              <w:t xml:space="preserve">21</w:t>
            </w:r>
            <w:r>
              <w:rPr>
                <w:rFonts w:ascii="宋体" w:hAnsi="宋体" w:cs="宋体"/>
                <w:b w:val="0"/>
                <w:bCs/>
                <w:color w:val="000000"/>
                <w:sz w:val="24"/>
                <w:szCs w:val="24"/>
                <w:highlight w:val="none"/>
                <w:lang w:val="en-US"/>
              </w:rPr>
            </w:r>
            <w:r/>
          </w:p>
        </w:tc>
        <w:tc>
          <w:tcPr>
            <w:tcW w:w="2291"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运维服务</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rPr>
              <w:framePr w:vAnchor="text" w:hAnchor="page" w:x="333" w:y="332"/>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737"/>
        </w:trPr>
        <w:tc>
          <w:tcPr>
            <w:gridSpan w:val="2"/>
            <w:tcW w:w="360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olor w:val="000000"/>
                <w:sz w:val="24"/>
                <w:szCs w:val="24"/>
                <w:highlight w:val="none"/>
              </w:rPr>
              <w:t xml:space="preserve">投标总报价（人民币：元）</w:t>
            </w: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1173"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c>
          <w:tcPr>
            <w:tcW w:w="980"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ascii="宋体" w:hAnsi="宋体" w:cs="宋体"/>
                <w:b w:val="0"/>
                <w:bCs/>
                <w:color w:val="000000"/>
                <w:sz w:val="24"/>
                <w:szCs w:val="24"/>
                <w:highlight w:val="none"/>
                <w:lang w:val="en-US" w:eastAsia="zh-CN"/>
              </w:rPr>
            </w:r>
            <w:r/>
          </w:p>
        </w:tc>
      </w:tr>
      <w:tr>
        <w:trPr>
          <w:trHeight w:val="737"/>
        </w:trPr>
        <w:tc>
          <w:tcPr>
            <w:gridSpan w:val="9"/>
            <w:tcW w:w="11232" w:type="dxa"/>
            <w:vAlign w:val="center"/>
            <w:textDirection w:val="lrTb"/>
            <w:noWrap w:val="false"/>
          </w:tcPr>
          <w:p>
            <w:pPr>
              <w:pStyle w:val="1304"/>
              <w:jc w:val="center"/>
              <w:keepLines w:val="0"/>
              <w:keepNext w:val="0"/>
              <w:pageBreakBefore w:val="0"/>
              <w:spacing w:line="240" w:lineRule="auto"/>
              <w:widowControl w:val="off"/>
              <w:tabs>
                <w:tab w:val="center" w:pos="4153" w:leader="none"/>
                <w:tab w:val="right" w:pos="8306" w:leader="none"/>
              </w:tabs>
              <w:rPr>
                <w:rFonts w:hint="eastAsia" w:ascii="宋体" w:hAnsi="宋体" w:cs="宋体"/>
                <w:b w:val="0"/>
                <w:bCs/>
                <w:color w:val="000000"/>
                <w:sz w:val="24"/>
                <w:szCs w:val="24"/>
                <w:highlight w:val="none"/>
                <w:lang w:val="en-US" w:eastAsia="zh-CN"/>
              </w:rPr>
              <w:framePr w:vAnchor="text" w:hAnchor="page" w:x="333" w:y="332"/>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rPr>
                <w:rFonts w:hint="eastAsia" w:ascii="宋体" w:hAnsi="宋体" w:cs="宋体"/>
                <w:b w:val="0"/>
                <w:bCs/>
                <w:color w:val="000000"/>
                <w:sz w:val="24"/>
                <w:szCs w:val="24"/>
                <w:highlight w:val="none"/>
                <w:lang w:val="en-US" w:eastAsia="zh-CN"/>
              </w:rPr>
            </w:r>
            <w:r/>
          </w:p>
        </w:tc>
      </w:tr>
    </w:tbl>
    <w:p>
      <w:pPr>
        <w:pStyle w:val="122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spacing w:line="440" w:lineRule="exact"/>
        <w:rPr>
          <w:rFonts w:hint="eastAsia" w:ascii="宋体" w:hAnsi="宋体"/>
          <w:color w:val="000000"/>
          <w:sz w:val="24"/>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highlight w:val="none"/>
        </w:rPr>
      </w:r>
      <w:r/>
    </w:p>
    <w:p>
      <w:pPr>
        <w:pStyle w:val="122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 “投标分项报价表”中“投标总报价”数额应当与“开标一览表”中“投标总报价”数额一致。</w:t>
      </w:r>
      <w:r>
        <w:rPr>
          <w:rFonts w:hint="eastAsia" w:ascii="宋体" w:hAnsi="宋体" w:eastAsia="宋体" w:cs="Times New Roman"/>
          <w:color w:val="000000"/>
          <w:sz w:val="24"/>
          <w:highlight w:val="none"/>
        </w:rPr>
      </w:r>
      <w:r/>
    </w:p>
    <w:p>
      <w:pPr>
        <w:pStyle w:val="122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highlight w:val="none"/>
        </w:rPr>
      </w:r>
      <w:r/>
    </w:p>
    <w:p>
      <w:pPr>
        <w:pStyle w:val="122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4.投标人需认真填写本报价表，尤其注意规格型号的准确填写。</w:t>
      </w:r>
      <w:r>
        <w:rPr>
          <w:rFonts w:hint="eastAsia" w:ascii="宋体" w:hAnsi="宋体" w:eastAsia="宋体" w:cs="Times New Roman"/>
          <w:color w:val="000000"/>
          <w:sz w:val="24"/>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宋体" w:hAnsi="宋体" w:eastAsia="宋体" w:cs="Times New Roman"/>
          <w:color w:val="000000"/>
          <w:sz w:val="24"/>
          <w:highlight w:val="none"/>
        </w:rPr>
        <w:t xml:space="preserve">5.涉及小型、微型、节能产品、环境标志等享受政府采购扶持政策的项目，需在备注中分别明确注明</w:t>
      </w:r>
      <w:r>
        <w:rPr>
          <w:rFonts w:hint="eastAsia" w:ascii="宋体" w:hAnsi="宋体" w:eastAsia="宋体" w:cs="Times New Roman"/>
          <w:color w:val="000000"/>
          <w:sz w:val="24"/>
          <w:highlight w:val="none"/>
          <w:lang w:val="en-US" w:eastAsia="zh-CN"/>
        </w:rPr>
        <w:t xml:space="preserve">.</w:t>
      </w:r>
      <w:r>
        <w:rPr>
          <w:b w:val="0"/>
          <w:position w:val="0"/>
          <w:szCs w:val="24"/>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三</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2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2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2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2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2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25"/>
        <w:jc w:val="center"/>
        <w:spacing w:before="145" w:after="145" w:line="440" w:lineRule="exact"/>
        <w:rPr>
          <w:rFonts w:hint="eastAsia" w:ascii="黑体" w:hAnsi="黑体" w:eastAsia="黑体"/>
          <w:b/>
          <w:color w:val="000000"/>
          <w:sz w:val="32"/>
          <w:szCs w:val="32"/>
          <w:highlight w:val="none"/>
        </w:rPr>
      </w:pPr>
      <w:r/>
      <w:bookmarkEnd w:id="208"/>
      <w:r/>
      <w:bookmarkStart w:id="212" w:name="_Hlt26955054"/>
      <w:r/>
      <w:bookmarkEnd w:id="212"/>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四</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25"/>
              <w:jc w:val="center"/>
              <w:spacing w:line="440" w:lineRule="exact"/>
              <w:rPr>
                <w:rFonts w:hint="eastAsia" w:ascii="宋体" w:hAnsi="宋体"/>
                <w:color w:val="000000"/>
                <w:sz w:val="24"/>
                <w:szCs w:val="24"/>
                <w:highlight w:val="none"/>
              </w:rPr>
            </w:pPr>
            <w:r/>
            <w:bookmarkStart w:id="213" w:name="_Hlt26580838"/>
            <w:r/>
            <w:bookmarkEnd w:id="213"/>
            <w:r/>
            <w:bookmarkStart w:id="214" w:name="_Hlt26955064"/>
            <w:r/>
            <w:bookmarkEnd w:id="214"/>
            <w:r/>
            <w:bookmarkStart w:id="215" w:name="_Hlt26609391"/>
            <w:r/>
            <w:bookmarkEnd w:id="215"/>
            <w:r/>
            <w:bookmarkStart w:id="216" w:name="_Hlt26671343"/>
            <w:r/>
            <w:bookmarkEnd w:id="216"/>
            <w:r/>
            <w:bookmarkStart w:id="217" w:name="_Hlt26782999"/>
            <w:r/>
            <w:bookmarkEnd w:id="217"/>
            <w:r/>
            <w:bookmarkStart w:id="218" w:name="_Hlt26955056"/>
            <w:r/>
            <w:bookmarkEnd w:id="218"/>
            <w:r/>
            <w:bookmarkStart w:id="219" w:name="_Hlt26671372"/>
            <w:r/>
            <w:bookmarkEnd w:id="219"/>
            <w:r/>
            <w:bookmarkStart w:id="220" w:name="_Hlt24879081"/>
            <w:r/>
            <w:bookmarkEnd w:id="22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2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2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2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25"/>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244"/>
        <w:ind w:firstLine="0"/>
        <w:spacing w:line="440" w:lineRule="exact"/>
        <w:rPr>
          <w:rFonts w:hint="eastAsia" w:ascii="宋体" w:hAnsi="宋体"/>
          <w:color w:val="000000"/>
          <w:sz w:val="24"/>
          <w:highlight w:val="none"/>
        </w:rPr>
      </w:pPr>
      <w:r/>
      <w:bookmarkStart w:id="221" w:name="_Hlt26671374"/>
      <w:r/>
      <w:bookmarkEnd w:id="221"/>
      <w:r/>
      <w:bookmarkStart w:id="222" w:name="_Hlt26955066"/>
      <w:r/>
      <w:bookmarkEnd w:id="222"/>
      <w:r/>
      <w:bookmarkStart w:id="223" w:name="_Hlt26609389"/>
      <w:r/>
      <w:bookmarkEnd w:id="223"/>
      <w:r/>
      <w:bookmarkStart w:id="224" w:name="_Toc462564146"/>
      <w:r>
        <w:rPr>
          <w:rFonts w:hint="eastAsia" w:ascii="宋体" w:hAnsi="宋体"/>
          <w:color w:val="000000"/>
          <w:sz w:val="24"/>
          <w:highlight w:val="none"/>
        </w:rPr>
      </w:r>
      <w:r/>
    </w:p>
    <w:p>
      <w:pPr>
        <w:pStyle w:val="1225"/>
        <w:jc w:val="center"/>
        <w:spacing w:line="440" w:lineRule="exact"/>
        <w:rPr>
          <w:rFonts w:hint="eastAsia" w:ascii="黑体" w:hAnsi="黑体" w:eastAsia="黑体"/>
          <w:b/>
          <w:color w:val="000000"/>
          <w:sz w:val="32"/>
          <w:szCs w:val="32"/>
          <w:highlight w:val="none"/>
        </w:rPr>
      </w:pPr>
      <w:r/>
      <w:bookmarkEnd w:id="224"/>
      <w:r/>
      <w:bookmarkStart w:id="225" w:name="_格式2__法定代表人授权书"/>
      <w:r/>
      <w:bookmarkEnd w:id="225"/>
      <w:r>
        <w:rPr>
          <w:rFonts w:hint="eastAsia" w:ascii="黑体" w:hAnsi="黑体" w:eastAsia="黑体"/>
          <w:b/>
          <w:color w:val="000000"/>
          <w:sz w:val="32"/>
          <w:szCs w:val="32"/>
          <w:highlight w:val="none"/>
        </w:rPr>
      </w:r>
      <w:r/>
    </w:p>
    <w:p>
      <w:pPr>
        <w:pStyle w:val="122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25"/>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五</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225"/>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镇江市扬中生态环境局空气自动站设备更新项目</w:t>
      </w:r>
      <w:r>
        <w:rPr>
          <w:rFonts w:hint="eastAsia" w:eastAsia="宋体"/>
          <w:color w:val="000000"/>
          <w:sz w:val="24"/>
          <w:szCs w:val="24"/>
          <w:highlight w:val="none"/>
          <w:lang w:eastAsia="zh-CN"/>
        </w:rPr>
      </w:r>
      <w:r/>
    </w:p>
    <w:p>
      <w:pPr>
        <w:pStyle w:val="122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25"/>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328"/>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122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22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ind w:firstLine="480"/>
        <w:spacing w:line="440" w:lineRule="exact"/>
        <w:rPr>
          <w:rFonts w:ascii="宋体" w:hAnsi="宋体" w:eastAsia="宋体" w:cs="Times New Roman"/>
          <w:b w:val="0"/>
          <w:bCs/>
          <w:color w:val="000000"/>
          <w:sz w:val="24"/>
          <w:szCs w:val="24"/>
          <w:lang w:val="en-US" w:eastAsia="zh-CN"/>
        </w:rPr>
      </w:pPr>
      <w:r>
        <w:rPr>
          <w:rFonts w:hint="eastAsia" w:ascii="宋体" w:hAnsi="宋体"/>
          <w:color w:val="000000"/>
          <w:sz w:val="24"/>
          <w:lang w:val="en-US" w:eastAsia="zh-CN"/>
        </w:rPr>
        <w:t xml:space="preserve">1.</w:t>
      </w: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122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评标委员会启动异常低价投标(响应)审查的情形和具体要求:</w:t>
      </w:r>
      <w:r>
        <w:rPr>
          <w:rFonts w:ascii="宋体" w:hAnsi="宋体" w:eastAsia="宋体" w:cs="Times New Roman"/>
          <w:b w:val="0"/>
          <w:bCs/>
          <w:color w:val="000000"/>
          <w:sz w:val="24"/>
          <w:szCs w:val="24"/>
          <w:lang w:val="en-US" w:eastAsia="zh-CN"/>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(一)政府采购评审中出现下列情形之一的，评审委员会应当启动异常低价投标（响应）审查程序： </w:t>
      </w:r>
      <w:r>
        <w:rPr>
          <w:rFonts w:hint="eastAsia" w:ascii="宋体" w:hAnsi="宋体"/>
          <w:color w:val="000000"/>
          <w:sz w:val="24"/>
          <w:szCs w:val="24"/>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（1）投标报价低于全部通过符合性审查供应商投标报价平均值65%的，即投标报价&lt;全部通过符合性审查供应商投标报价平均值×65%；</w:t>
      </w:r>
      <w:r>
        <w:rPr>
          <w:rFonts w:hint="eastAsia" w:ascii="宋体" w:hAnsi="宋体"/>
          <w:color w:val="000000"/>
          <w:sz w:val="24"/>
          <w:szCs w:val="24"/>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（2）投标报价低于通过符合性审查的次低报价供应商投标报价65%的，即投标报价&lt;通过符合性审查的次低报价供应商投标报价×65%；</w:t>
      </w:r>
      <w:r>
        <w:rPr>
          <w:rFonts w:hint="eastAsia" w:ascii="宋体" w:hAnsi="宋体"/>
          <w:color w:val="000000"/>
          <w:sz w:val="24"/>
          <w:szCs w:val="24"/>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（3）投标报价低于采购项目最高限价65%的，即投标报价&lt;采购项目最高限价×65%；</w:t>
      </w:r>
      <w:r>
        <w:rPr>
          <w:rFonts w:hint="eastAsia" w:ascii="宋体" w:hAnsi="宋体"/>
          <w:color w:val="000000"/>
          <w:sz w:val="24"/>
          <w:szCs w:val="24"/>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（4）评委会基于专业判断，认为供应商报价过低，有可能影响产品质量或者不能诚信履约的其他情形。</w:t>
      </w:r>
      <w:r>
        <w:rPr>
          <w:rFonts w:hint="eastAsia" w:ascii="宋体" w:hAnsi="宋体"/>
          <w:color w:val="000000"/>
          <w:sz w:val="24"/>
          <w:szCs w:val="24"/>
        </w:rPr>
      </w:r>
      <w:r/>
    </w:p>
    <w:p>
      <w:pPr>
        <w:pStyle w:val="122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b/>
          <w:bCs/>
          <w:color w:val="ff0000"/>
          <w:sz w:val="24"/>
          <w:szCs w:val="24"/>
        </w:rPr>
        <w:t xml:space="preserve">包括但不限于原材料成本、人工成本、制造费用等，</w:t>
      </w:r>
      <w:r>
        <w:rPr>
          <w:rFonts w:hint="eastAsia" w:ascii="宋体" w:hAnsi="宋体"/>
          <w:color w:val="000000"/>
          <w:sz w:val="24"/>
          <w:szCs w:val="24"/>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olor w:val="000000"/>
          <w:sz w:val="24"/>
          <w:szCs w:val="24"/>
        </w:rPr>
      </w:r>
      <w:r/>
    </w:p>
    <w:p>
      <w:pPr>
        <w:pStyle w:val="1225"/>
        <w:jc w:val="center"/>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十</w:t>
      </w:r>
      <w:r>
        <w:rPr>
          <w:rFonts w:hint="eastAsia" w:ascii="宋体" w:hAnsi="宋体" w:cs="仿宋"/>
          <w:b/>
          <w:bCs/>
          <w:color w:val="000000"/>
          <w:sz w:val="32"/>
          <w:szCs w:val="32"/>
          <w:highlight w:val="none"/>
          <w:lang w:eastAsia="zh-CN"/>
        </w:rPr>
        <w:t xml:space="preserve">六</w:t>
      </w:r>
      <w:r>
        <w:rPr>
          <w:rFonts w:hint="eastAsia" w:ascii="宋体" w:hAnsi="宋体" w:cs="仿宋"/>
          <w:b/>
          <w:bCs/>
          <w:color w:val="000000"/>
          <w:sz w:val="32"/>
          <w:szCs w:val="32"/>
          <w:highlight w:val="none"/>
        </w:rPr>
        <w:t xml:space="preserve">、</w:t>
      </w:r>
      <w:r>
        <w:rPr>
          <w:rFonts w:ascii="宋体" w:hAnsi="宋体"/>
          <w:b/>
          <w:bCs/>
          <w:color w:val="000000"/>
          <w:sz w:val="36"/>
          <w:szCs w:val="36"/>
          <w:highlight w:val="none"/>
        </w:rPr>
        <w:t xml:space="preserve">资格承诺函（格式）</w:t>
      </w:r>
      <w:r>
        <w:rPr>
          <w:rFonts w:ascii="宋体" w:hAnsi="宋体"/>
          <w:color w:val="000000"/>
          <w:sz w:val="28"/>
          <w:szCs w:val="28"/>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2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225"/>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225"/>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225"/>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2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22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63"/>
          <w:cols w:num="1" w:sep="0" w:space="1701" w:equalWidth="1"/>
          <w:docGrid w:linePitch="360"/>
          <w:titlePg/>
        </w:sect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color w:val="000000"/>
          <w:sz w:val="32"/>
          <w:szCs w:val="32"/>
          <w:highlight w:val="none"/>
          <w:lang w:eastAsia="zh-CN"/>
        </w:rPr>
      </w:pPr>
      <w:r>
        <w:rPr>
          <w:rFonts w:hint="eastAsia" w:ascii="黑体" w:hAnsi="黑体" w:eastAsia="黑体" w:cs="Times New Roman"/>
          <w:b/>
          <w:color w:val="000000"/>
          <w:sz w:val="32"/>
          <w:szCs w:val="32"/>
          <w:highlight w:val="none"/>
          <w:lang w:eastAsia="zh-CN"/>
        </w:rPr>
        <w:t xml:space="preserve">十七、单位负责人为同一人或者存在直接控股、管理关系的不同供应商，不得参加同一合同项下的政府采购活动的承诺函（格式自拟）</w:t>
      </w:r>
      <w:r>
        <w:rPr>
          <w:rFonts w:hint="eastAsia" w:ascii="黑体" w:hAnsi="黑体" w:eastAsia="黑体" w:cs="Times New Roman"/>
          <w:b/>
          <w:color w:val="000000"/>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color w:val="0000ff"/>
          <w:sz w:val="32"/>
          <w:szCs w:val="32"/>
          <w:highlight w:val="none"/>
        </w:rPr>
      </w:pPr>
      <w:r>
        <w:rPr>
          <w:rFonts w:hint="eastAsia" w:ascii="黑体" w:hAnsi="黑体" w:eastAsia="黑体" w:cs="Times New Roman"/>
          <w:b/>
          <w:color w:val="0000ff"/>
          <w:sz w:val="32"/>
          <w:szCs w:val="32"/>
          <w:highlight w:val="none"/>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25"/>
        <w:numPr>
          <w:ilvl w:val="0"/>
          <w:numId w:val="0"/>
        </w:numPr>
        <w:jc w:val="center"/>
        <w:spacing w:line="440" w:lineRule="exact"/>
        <w:rPr>
          <w:rFonts w:hint="eastAsia" w:ascii="黑体" w:hAnsi="黑体" w:eastAsia="黑体"/>
          <w:b/>
          <w:sz w:val="32"/>
          <w:szCs w:val="32"/>
          <w:highlight w:val="none"/>
        </w:rPr>
      </w:pPr>
      <w:r>
        <w:rPr>
          <w:rFonts w:hint="eastAsia" w:ascii="黑体" w:hAnsi="黑体" w:eastAsia="黑体" w:cs="Times New Roman"/>
          <w:b/>
          <w:sz w:val="32"/>
          <w:szCs w:val="32"/>
          <w:highlight w:val="none"/>
          <w:lang w:eastAsia="zh-CN"/>
        </w:rPr>
        <w:t xml:space="preserve">十八、</w:t>
      </w:r>
      <w:r>
        <w:rPr>
          <w:rFonts w:hint="eastAsia" w:ascii="黑体" w:hAnsi="黑体" w:eastAsia="黑体" w:cs="Times New Roman"/>
          <w:b/>
          <w:sz w:val="32"/>
          <w:szCs w:val="32"/>
          <w:highlight w:val="none"/>
        </w:rPr>
        <w:t xml:space="preserve">分</w:t>
      </w:r>
      <w:r>
        <w:rPr>
          <w:rFonts w:hint="eastAsia" w:ascii="黑体" w:hAnsi="黑体" w:eastAsia="黑体"/>
          <w:b/>
          <w:sz w:val="32"/>
          <w:szCs w:val="32"/>
          <w:highlight w:val="none"/>
        </w:rPr>
        <w:t xml:space="preserve">包意向协议（参考格式）</w:t>
      </w:r>
      <w:r>
        <w:rPr>
          <w:rFonts w:hint="eastAsia" w:ascii="黑体" w:hAnsi="黑体" w:eastAsia="黑体"/>
          <w:b/>
          <w:sz w:val="32"/>
          <w:szCs w:val="32"/>
          <w:highlight w:val="none"/>
        </w:rPr>
      </w:r>
      <w:r/>
    </w:p>
    <w:p>
      <w:pPr>
        <w:pStyle w:val="1225"/>
        <w:jc w:val="center"/>
        <w:spacing w:line="44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本项目允许</w:t>
      </w:r>
      <w:r>
        <w:rPr>
          <w:rFonts w:hint="eastAsia" w:ascii="黑体" w:hAnsi="黑体" w:eastAsia="黑体"/>
          <w:b/>
          <w:sz w:val="32"/>
          <w:szCs w:val="32"/>
          <w:highlight w:val="none"/>
          <w:lang w:eastAsia="zh-CN"/>
        </w:rPr>
        <w:t xml:space="preserve">中标</w:t>
      </w:r>
      <w:r>
        <w:rPr>
          <w:rFonts w:hint="eastAsia" w:ascii="黑体" w:hAnsi="黑体" w:eastAsia="黑体"/>
          <w:b/>
          <w:sz w:val="32"/>
          <w:szCs w:val="32"/>
          <w:highlight w:val="none"/>
        </w:rPr>
        <w:t xml:space="preserve">供应商分包履行合同（若有，请提供）</w:t>
      </w:r>
      <w:r>
        <w:rPr>
          <w:rFonts w:hint="eastAsia" w:ascii="黑体" w:hAnsi="黑体" w:eastAsia="黑体"/>
          <w:b/>
          <w:sz w:val="32"/>
          <w:szCs w:val="32"/>
          <w:highlight w:val="none"/>
        </w:rPr>
      </w:r>
      <w:r/>
    </w:p>
    <w:p>
      <w:pPr>
        <w:pStyle w:val="1225"/>
        <w:spacing w:line="440" w:lineRule="exact"/>
        <w:rPr>
          <w:rFonts w:ascii="宋体" w:hAnsi="宋体"/>
          <w:sz w:val="24"/>
          <w:szCs w:val="24"/>
          <w:highlight w:val="none"/>
        </w:rPr>
      </w:pPr>
      <w:r>
        <w:rPr>
          <w:rFonts w:hint="eastAsia" w:ascii="宋体" w:hAnsi="宋体"/>
          <w:sz w:val="24"/>
          <w:szCs w:val="24"/>
          <w:highlight w:val="none"/>
        </w:rPr>
        <w:t xml:space="preserve">致采购人：</w:t>
      </w:r>
      <w:r>
        <w:rPr>
          <w:rFonts w:ascii="宋体" w:hAnsi="宋体"/>
          <w:sz w:val="24"/>
          <w:szCs w:val="24"/>
          <w:highlight w:val="none"/>
        </w:rPr>
      </w:r>
      <w:r/>
    </w:p>
    <w:p>
      <w:pPr>
        <w:pStyle w:val="1225"/>
        <w:ind w:firstLine="645"/>
        <w:spacing w:line="44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、我们</w:t>
      </w:r>
      <w:r>
        <w:rPr>
          <w:rFonts w:hint="eastAsia" w:ascii="宋体" w:hAnsi="宋体"/>
          <w:sz w:val="24"/>
          <w:szCs w:val="24"/>
          <w:highlight w:val="none"/>
          <w:u w:val="single"/>
        </w:rPr>
        <w:t xml:space="preserve"> （供应商  ）      </w:t>
      </w:r>
      <w:r>
        <w:rPr>
          <w:rFonts w:hint="eastAsia" w:ascii="宋体" w:hAnsi="宋体"/>
          <w:sz w:val="24"/>
          <w:szCs w:val="24"/>
          <w:highlight w:val="none"/>
        </w:rPr>
        <w:t xml:space="preserve">参加江苏金居工程项目管理有限公司采购代理机构组织的采购编号为</w:t>
      </w:r>
      <w:r>
        <w:rPr>
          <w:rFonts w:hint="eastAsia" w:ascii="宋体" w:hAnsi="宋体"/>
          <w:sz w:val="24"/>
          <w:szCs w:val="24"/>
          <w:highlight w:val="none"/>
          <w:u w:val="single"/>
        </w:rPr>
        <w:t xml:space="preserve">（编号全称），（项目</w:t>
      </w:r>
      <w:r>
        <w:rPr>
          <w:rFonts w:hint="eastAsia" w:ascii="宋体" w:hAnsi="宋体"/>
          <w:sz w:val="24"/>
          <w:szCs w:val="24"/>
          <w:highlight w:val="none"/>
          <w:u w:val="single"/>
          <w:lang w:eastAsia="zh-CN"/>
        </w:rPr>
        <w:t xml:space="preserve">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项目的政府采购活动，我公司指定</w:t>
      </w:r>
      <w:r>
        <w:rPr>
          <w:rFonts w:hint="eastAsia" w:ascii="宋体" w:hAnsi="宋体"/>
          <w:sz w:val="24"/>
          <w:szCs w:val="24"/>
          <w:highlight w:val="none"/>
          <w:u w:val="single"/>
        </w:rPr>
        <w:t xml:space="preserve">（供应商1  ）</w:t>
      </w:r>
      <w:r>
        <w:rPr>
          <w:rFonts w:hint="eastAsia" w:ascii="宋体" w:hAnsi="宋体"/>
          <w:sz w:val="24"/>
          <w:szCs w:val="24"/>
          <w:highlight w:val="none"/>
        </w:rPr>
        <w:t xml:space="preserve">为分包单位。</w:t>
      </w:r>
      <w:r>
        <w:rPr>
          <w:rFonts w:ascii="宋体" w:hAnsi="宋体"/>
          <w:sz w:val="24"/>
          <w:szCs w:val="24"/>
          <w:highlight w:val="none"/>
        </w:rPr>
      </w:r>
      <w:r/>
    </w:p>
    <w:p>
      <w:pPr>
        <w:pStyle w:val="1225"/>
        <w:ind w:firstLine="645"/>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、若我公司成交，（供应商单位</w:t>
      </w:r>
      <w:r>
        <w:rPr>
          <w:rFonts w:ascii="宋体" w:hAnsi="宋体"/>
          <w:sz w:val="24"/>
          <w:szCs w:val="24"/>
          <w:highlight w:val="none"/>
        </w:rPr>
        <w:t xml:space="preserve">1</w:t>
      </w:r>
      <w:r>
        <w:rPr>
          <w:rFonts w:hint="eastAsia" w:ascii="宋体" w:hAnsi="宋体"/>
          <w:sz w:val="24"/>
          <w:szCs w:val="24"/>
          <w:highlight w:val="none"/>
        </w:rPr>
        <w:t xml:space="preserve">全称）实施项目中（工作内容）部分工作，并承担相应的责任。（供应商单位</w:t>
      </w:r>
      <w:r>
        <w:rPr>
          <w:rFonts w:ascii="宋体" w:hAnsi="宋体"/>
          <w:sz w:val="24"/>
          <w:szCs w:val="24"/>
          <w:highlight w:val="none"/>
        </w:rPr>
        <w:t xml:space="preserve">2</w:t>
      </w:r>
      <w:r>
        <w:rPr>
          <w:rFonts w:hint="eastAsia" w:ascii="宋体" w:hAnsi="宋体"/>
          <w:sz w:val="24"/>
          <w:szCs w:val="24"/>
          <w:highlight w:val="none"/>
        </w:rPr>
        <w:t xml:space="preserve">全称）实施项目中（工作内容）部分工作，并承担相应的责任……。（注：各供应商都应明示所承担的工作和相应的责任）。</w:t>
      </w:r>
      <w:r>
        <w:rPr>
          <w:rFonts w:ascii="宋体" w:hAnsi="宋体"/>
          <w:sz w:val="24"/>
          <w:szCs w:val="24"/>
          <w:highlight w:val="none"/>
        </w:rPr>
      </w:r>
      <w:r/>
    </w:p>
    <w:p>
      <w:pPr>
        <w:pStyle w:val="1225"/>
        <w:ind w:firstLine="645"/>
        <w:spacing w:line="440" w:lineRule="exact"/>
        <w:rPr>
          <w:rFonts w:hint="eastAsia" w:ascii="宋体" w:hAnsi="宋体"/>
          <w:b/>
          <w:bCs/>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、其中</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（小型、微型企业/残疾人福利性单位/监狱企业全称）为</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（小型、微型企业/残疾人福利性单位/监狱企业）企业，且我们约定该公司/单位所承担的合同金额将占本项目合同总金额的</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b/>
          <w:bCs/>
          <w:sz w:val="24"/>
          <w:szCs w:val="24"/>
          <w:highlight w:val="none"/>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highlight w:val="none"/>
        </w:rPr>
      </w:r>
      <w:r/>
    </w:p>
    <w:p>
      <w:pPr>
        <w:pStyle w:val="1225"/>
        <w:ind w:firstLine="645"/>
        <w:spacing w:line="440" w:lineRule="exact"/>
        <w:rPr>
          <w:rFonts w:hint="eastAsia" w:ascii="宋体" w:hAnsi="宋体"/>
          <w:sz w:val="24"/>
          <w:szCs w:val="24"/>
          <w:highlight w:val="none"/>
        </w:rPr>
      </w:pPr>
      <w:r>
        <w:rPr>
          <w:rFonts w:hint="eastAsia" w:ascii="宋体" w:hAnsi="宋体"/>
          <w:sz w:val="24"/>
          <w:szCs w:val="24"/>
          <w:highlight w:val="none"/>
        </w:rPr>
      </w:r>
      <w:r/>
    </w:p>
    <w:p>
      <w:pPr>
        <w:pStyle w:val="1225"/>
        <w:ind w:firstLine="645"/>
        <w:spacing w:line="44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122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分包1供应商全称（公章）（若有，请盖章）：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22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分包2供应商全称（公章）（若有，请盖章）：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304"/>
        <w:tabs>
          <w:tab w:val="center" w:pos="4153" w:leader="none"/>
          <w:tab w:val="right" w:pos="8306" w:leader="none"/>
        </w:tabs>
        <w:rPr>
          <w:highlight w:val="none"/>
        </w:rPr>
      </w:pPr>
      <w:r>
        <w:rPr>
          <w:highlight w:val="none"/>
        </w:rPr>
      </w:r>
      <w:r/>
    </w:p>
    <w:p>
      <w:pPr>
        <w:pStyle w:val="1225"/>
        <w:ind w:firstLine="645"/>
        <w:spacing w:line="44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日期：</w:t>
      </w:r>
      <w:r>
        <w:rPr>
          <w:rFonts w:ascii="宋体" w:hAnsi="宋体"/>
          <w:sz w:val="24"/>
          <w:szCs w:val="24"/>
          <w:highlight w:val="none"/>
        </w:rPr>
      </w:r>
      <w:r/>
    </w:p>
    <w:p>
      <w:pPr>
        <w:pStyle w:val="1225"/>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25"/>
        <w:rPr>
          <w:rFonts w:hint="eastAsia"/>
        </w:rPr>
      </w:pPr>
      <w:r>
        <w:rPr>
          <w:rFonts w:hint="eastAsia"/>
        </w:rPr>
      </w:r>
      <w:r/>
    </w:p>
    <w:p>
      <w:pPr>
        <w:pStyle w:val="1225"/>
        <w:rPr>
          <w:rFonts w:hint="eastAsia"/>
        </w:rPr>
      </w:pPr>
      <w:r>
        <w:rPr>
          <w:rFonts w:hint="eastAsia"/>
        </w:rPr>
      </w:r>
      <w:r/>
    </w:p>
    <w:p>
      <w:pPr>
        <w:pStyle w:val="122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5"/>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47"/>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93"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347"/>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347"/>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347"/>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347"/>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347"/>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225"/>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22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22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2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22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2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22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22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22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244"/>
        <w:spacing w:line="440" w:lineRule="exact"/>
        <w:rPr>
          <w:rFonts w:hint="eastAsia"/>
          <w:color w:val="000000"/>
          <w:sz w:val="24"/>
          <w:szCs w:val="24"/>
          <w:highlight w:val="none"/>
        </w:rPr>
      </w:pPr>
      <w:r>
        <w:rPr>
          <w:rFonts w:hint="eastAsia"/>
          <w:color w:val="000000"/>
          <w:sz w:val="24"/>
          <w:szCs w:val="24"/>
          <w:highlight w:val="none"/>
        </w:rPr>
      </w:r>
      <w:r/>
    </w:p>
    <w:p>
      <w:pPr>
        <w:pStyle w:val="1244"/>
        <w:spacing w:line="440" w:lineRule="exact"/>
        <w:rPr>
          <w:color w:val="000000"/>
          <w:sz w:val="24"/>
          <w:szCs w:val="24"/>
          <w:highlight w:val="none"/>
        </w:rPr>
      </w:pPr>
      <w:r>
        <w:rPr>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6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ind w:firstLine="0"/>
      <w:spacing w:line="0" w:lineRule="atLeast"/>
      <w:widowControl w:val="off"/>
      <w:tabs>
        <w:tab w:val="left" w:pos="4138" w:leader="none"/>
        <w:tab w:val="left" w:pos="800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25"/>
                          </w:pPr>
                          <w:r/>
                          <w:r/>
                        </w:p>
                      </w:txbxContent>
                    </wps:txbx>
                    <wps:bodyPr wrap="none" lIns="0" tIns="0" rIns="0" bIns="0" upright="1">
                      <a:spAutoFit/>
                    </wps:bodyPr>
                  </wps:wsp>
                </a:graphicData>
              </a:graphic>
            </wp:anchor>
          </w:drawing>
        </mc:Choice>
        <mc:Fallback>
          <w:pict>
            <v:shape id="shape 4" o:spid="_x0000_s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5"/>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25"/>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25"/>
                    </w:pPr>
                    <w:r/>
                    <w:r/>
                  </w:p>
                </w:txbxContent>
              </v:textbox>
            </v:shape>
          </w:pict>
        </mc:Fallback>
      </mc:AlternateContent>
    </w:r>
    <w:r>
      <w:rPr>
        <w:rFonts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5"/>
                          </w:pPr>
                          <w:r/>
                          <w:r/>
                        </w:p>
                        <w:p>
                          <w:pPr>
                            <w:pStyle w:val="1225"/>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5"/>
                    </w:pPr>
                    <w:r/>
                    <w:r/>
                  </w:p>
                  <w:p>
                    <w:pPr>
                      <w:pStyle w:val="1225"/>
                    </w:pPr>
                    <w:r/>
                    <w:r/>
                  </w:p>
                </w:txbxContent>
              </v:textbox>
            </v:shape>
          </w:pict>
        </mc:Fallback>
      </mc:AlternateContent>
    </w:r>
    <w:r>
      <w:rPr>
        <w:rFonts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v:textbox>
            </v:shape>
          </w:pict>
        </mc:Fallback>
      </mc:AlternateConten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25"/>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307"/>
                            <w:spacing w:line="844" w:lineRule="atLeast"/>
                            <w:widowControl w:val="off"/>
                          </w:pPr>
                          <w:r/>
                          <w:r/>
                        </w:p>
                        <w:p>
                          <w:pPr>
                            <w:pStyle w:val="1307"/>
                          </w:pPr>
                          <w:r/>
                          <w:r/>
                        </w:p>
                        <w:p>
                          <w:pPr>
                            <w:pStyle w:val="1225"/>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307"/>
                      <w:spacing w:line="844" w:lineRule="atLeast"/>
                      <w:widowControl w:val="off"/>
                    </w:pPr>
                    <w:r/>
                    <w:r/>
                  </w:p>
                  <w:p>
                    <w:pPr>
                      <w:pStyle w:val="1307"/>
                    </w:pPr>
                    <w:r/>
                    <w:r/>
                  </w:p>
                  <w:p>
                    <w:pPr>
                      <w:pStyle w:val="12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307"/>
                            <w:spacing w:line="595" w:lineRule="atLeast"/>
                            <w:widowControl w:val="off"/>
                          </w:pPr>
                          <w:r/>
                          <w:r/>
                        </w:p>
                        <w:p>
                          <w:pPr>
                            <w:pStyle w:val="1307"/>
                            <w:spacing w:line="606" w:lineRule="atLeast"/>
                            <w:widowControl w:val="off"/>
                          </w:pPr>
                          <w:r/>
                          <w:r/>
                        </w:p>
                        <w:p>
                          <w:pPr>
                            <w:pStyle w:val="1307"/>
                          </w:pPr>
                          <w:r/>
                          <w:r/>
                        </w:p>
                        <w:p>
                          <w:pPr>
                            <w:pStyle w:val="1225"/>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307"/>
                      <w:spacing w:line="595" w:lineRule="atLeast"/>
                      <w:widowControl w:val="off"/>
                    </w:pPr>
                    <w:r/>
                    <w:r/>
                  </w:p>
                  <w:p>
                    <w:pPr>
                      <w:pStyle w:val="1307"/>
                      <w:spacing w:line="606" w:lineRule="atLeast"/>
                      <w:widowControl w:val="off"/>
                    </w:pPr>
                    <w:r/>
                    <w:r/>
                  </w:p>
                  <w:p>
                    <w:pPr>
                      <w:pStyle w:val="1307"/>
                    </w:pPr>
                    <w:r/>
                    <w:r/>
                  </w:p>
                  <w:p>
                    <w:pPr>
                      <w:pStyle w:val="12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307"/>
                            <w:spacing w:line="844" w:lineRule="atLeast"/>
                            <w:widowControl w:val="off"/>
                          </w:pPr>
                          <w:r/>
                          <w:r/>
                        </w:p>
                        <w:p>
                          <w:pPr>
                            <w:pStyle w:val="1307"/>
                          </w:pPr>
                          <w:r/>
                          <w:r/>
                        </w:p>
                        <w:p>
                          <w:pPr>
                            <w:pStyle w:val="1225"/>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307"/>
                      <w:spacing w:line="844" w:lineRule="atLeast"/>
                      <w:widowControl w:val="off"/>
                    </w:pPr>
                    <w:r/>
                    <w:r/>
                  </w:p>
                  <w:p>
                    <w:pPr>
                      <w:pStyle w:val="1307"/>
                    </w:pPr>
                    <w:r/>
                    <w:r/>
                  </w:p>
                  <w:p>
                    <w:pPr>
                      <w:pStyle w:val="1225"/>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12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311"/>
      <w:isLgl w:val="false"/>
      <w:suff w:val="tab"/>
      <w:lvlText w:val="附录%1."/>
      <w:lvlJc w:val="left"/>
      <w:pPr>
        <w:pStyle w:val="12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tab"/>
      <w:lvlText w:val="(%1)"/>
      <w:lvlJc w:val="left"/>
      <w:pPr>
        <w:pStyle w:val="122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34"/>
      <w:isLgl w:val="false"/>
      <w:suff w:val="tab"/>
      <w:lvlText w:val="%1."/>
      <w:lvlJc w:val="left"/>
      <w:pPr>
        <w:pStyle w:val="1225"/>
        <w:ind w:left="709" w:hanging="709"/>
        <w:tabs>
          <w:tab w:val="num" w:pos="709" w:leader="none"/>
        </w:tabs>
      </w:pPr>
      <w:rPr>
        <w:rFonts w:hint="eastAsia"/>
      </w:rPr>
    </w:lvl>
    <w:lvl w:ilvl="1">
      <w:start w:val="1"/>
      <w:numFmt w:val="decimal"/>
      <w:isLgl w:val="false"/>
      <w:suff w:val="tab"/>
      <w:lvlText w:val="%1.%2"/>
      <w:lvlJc w:val="left"/>
      <w:pPr>
        <w:pStyle w:val="1225"/>
        <w:ind w:left="709" w:hanging="709"/>
        <w:tabs>
          <w:tab w:val="num" w:pos="709" w:leader="none"/>
        </w:tabs>
      </w:pPr>
      <w:rPr>
        <w:rFonts w:hint="eastAsia"/>
      </w:rPr>
    </w:lvl>
    <w:lvl w:ilvl="2">
      <w:start w:val="1"/>
      <w:numFmt w:val="decimal"/>
      <w:isLgl w:val="false"/>
      <w:suff w:val="tab"/>
      <w:lvlText w:val="%1.%2.%3."/>
      <w:lvlJc w:val="left"/>
      <w:pPr>
        <w:pStyle w:val="1225"/>
        <w:ind w:left="425" w:hanging="425"/>
        <w:tabs>
          <w:tab w:val="num" w:pos="425" w:leader="none"/>
        </w:tabs>
      </w:pPr>
      <w:rPr>
        <w:rFonts w:hint="eastAsia"/>
      </w:rPr>
    </w:lvl>
    <w:lvl w:ilvl="3">
      <w:start w:val="1"/>
      <w:numFmt w:val="decimal"/>
      <w:isLgl w:val="false"/>
      <w:suff w:val="tab"/>
      <w:lvlText w:val="%1.%2.%3.%4."/>
      <w:lvlJc w:val="left"/>
      <w:pPr>
        <w:pStyle w:val="1225"/>
        <w:ind w:left="851" w:hanging="851"/>
        <w:tabs>
          <w:tab w:val="num" w:pos="851" w:leader="none"/>
        </w:tabs>
      </w:pPr>
      <w:rPr>
        <w:rFonts w:hint="eastAsia"/>
      </w:rPr>
    </w:lvl>
    <w:lvl w:ilvl="4">
      <w:start w:val="1"/>
      <w:numFmt w:val="decimal"/>
      <w:isLgl w:val="false"/>
      <w:suff w:val="tab"/>
      <w:lvlText w:val="%1.%2.%3.%4.%5."/>
      <w:lvlJc w:val="left"/>
      <w:pPr>
        <w:pStyle w:val="1225"/>
        <w:ind w:left="992" w:hanging="992"/>
        <w:tabs>
          <w:tab w:val="num" w:pos="992" w:leader="none"/>
        </w:tabs>
      </w:pPr>
      <w:rPr>
        <w:rFonts w:hint="eastAsia"/>
      </w:rPr>
    </w:lvl>
    <w:lvl w:ilvl="5">
      <w:start w:val="1"/>
      <w:numFmt w:val="decimal"/>
      <w:isLgl w:val="false"/>
      <w:suff w:val="tab"/>
      <w:lvlText w:val="%1.%2.%3.%4.%5.%6."/>
      <w:lvlJc w:val="left"/>
      <w:pPr>
        <w:pStyle w:val="1225"/>
        <w:ind w:left="1134" w:hanging="1134"/>
        <w:tabs>
          <w:tab w:val="num" w:pos="1134" w:leader="none"/>
        </w:tabs>
      </w:pPr>
      <w:rPr>
        <w:rFonts w:hint="eastAsia"/>
      </w:rPr>
    </w:lvl>
    <w:lvl w:ilvl="6">
      <w:start w:val="1"/>
      <w:numFmt w:val="decimal"/>
      <w:isLgl w:val="false"/>
      <w:suff w:val="tab"/>
      <w:lvlText w:val="%1.%2.%3.%4.%5.%6.%7."/>
      <w:lvlJc w:val="left"/>
      <w:pPr>
        <w:pStyle w:val="1225"/>
        <w:ind w:left="1276" w:hanging="1276"/>
        <w:tabs>
          <w:tab w:val="num" w:pos="1276" w:leader="none"/>
        </w:tabs>
      </w:pPr>
      <w:rPr>
        <w:rFonts w:hint="eastAsia"/>
      </w:rPr>
    </w:lvl>
    <w:lvl w:ilvl="7">
      <w:start w:val="1"/>
      <w:numFmt w:val="decimal"/>
      <w:isLgl w:val="false"/>
      <w:suff w:val="tab"/>
      <w:lvlText w:val="%1.%2.%3.%4.%5.%6.%7.%8."/>
      <w:lvlJc w:val="left"/>
      <w:pPr>
        <w:pStyle w:val="1225"/>
        <w:ind w:left="1418" w:hanging="1418"/>
        <w:tabs>
          <w:tab w:val="num" w:pos="1418" w:leader="none"/>
        </w:tabs>
      </w:pPr>
      <w:rPr>
        <w:rFonts w:hint="eastAsia"/>
      </w:rPr>
    </w:lvl>
    <w:lvl w:ilvl="8">
      <w:start w:val="1"/>
      <w:numFmt w:val="decimal"/>
      <w:isLgl w:val="false"/>
      <w:suff w:val="tab"/>
      <w:lvlText w:val="%1.%2.%3.%4.%5.%6.%7.%8.%9."/>
      <w:lvlJc w:val="left"/>
      <w:pPr>
        <w:pStyle w:val="1225"/>
        <w:ind w:left="1559" w:hanging="1559"/>
        <w:tabs>
          <w:tab w:val="num" w:pos="1559" w:leader="none"/>
        </w:tabs>
      </w:pPr>
      <w:rPr>
        <w:rFonts w:hint="eastAsia"/>
      </w:rPr>
    </w:lvl>
  </w:abstractNum>
  <w:abstractNum w:abstractNumId="7">
    <w:multiLevelType w:val="hybridMultilevel"/>
    <w:lvl w:ilvl="0">
      <w:start w:val="6"/>
      <w:numFmt w:val="chineseCounting"/>
      <w:isLgl w:val="false"/>
      <w:suff w:val="nothing"/>
      <w:lvlText w:val="%1、"/>
      <w:lvlJc w:val="left"/>
      <w:pPr>
        <w:pStyle w:val="12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1225"/>
        <w:ind w:left="0" w:firstLine="0"/>
      </w:pPr>
      <w:rPr>
        <w:rFonts w:hint="eastAsia"/>
      </w:rPr>
    </w:lvl>
    <w:lvl w:ilvl="1">
      <w:start w:val="1"/>
      <w:numFmt w:val="decimal"/>
      <w:isLgl w:val="false"/>
      <w:suff w:val="nothing"/>
      <w:lvlText w:val="%2、"/>
      <w:lvlJc w:val="left"/>
      <w:pPr>
        <w:pStyle w:val="1225"/>
        <w:ind w:left="0" w:firstLine="0"/>
      </w:pPr>
      <w:rPr>
        <w:rFonts w:hint="eastAsia"/>
      </w:rPr>
    </w:lvl>
    <w:lvl w:ilvl="2">
      <w:start w:val="1"/>
      <w:numFmt w:val="decimal"/>
      <w:isLgl w:val="false"/>
      <w:suff w:val="nothing"/>
      <w:lvlText w:val="%2.%3 "/>
      <w:lvlJc w:val="left"/>
      <w:pPr>
        <w:pStyle w:val="1225"/>
        <w:ind w:left="0" w:firstLine="0"/>
      </w:pPr>
      <w:rPr>
        <w:rFonts w:hint="eastAsia"/>
      </w:rPr>
    </w:lvl>
    <w:lvl w:ilvl="3">
      <w:start w:val="1"/>
      <w:numFmt w:val="decimal"/>
      <w:isLgl w:val="false"/>
      <w:suff w:val="nothing"/>
      <w:lvlText w:val="%2.%3.%4 "/>
      <w:lvlJc w:val="left"/>
      <w:pPr>
        <w:pStyle w:val="1225"/>
        <w:ind w:left="0" w:firstLine="0"/>
      </w:pPr>
      <w:rPr>
        <w:rFonts w:hint="eastAsia"/>
      </w:rPr>
    </w:lvl>
    <w:lvl w:ilvl="4">
      <w:start w:val="1"/>
      <w:numFmt w:val="decimal"/>
      <w:isLgl w:val="false"/>
      <w:suff w:val="nothing"/>
      <w:lvlText w:val="%2.%3.%4.%5 "/>
      <w:lvlJc w:val="left"/>
      <w:pPr>
        <w:pStyle w:val="1225"/>
        <w:ind w:left="0" w:firstLine="0"/>
      </w:pPr>
      <w:rPr>
        <w:rFonts w:hint="eastAsia"/>
      </w:rPr>
    </w:lvl>
    <w:lvl w:ilvl="5">
      <w:start w:val="1"/>
      <w:numFmt w:val="decimal"/>
      <w:pStyle w:val="1231"/>
      <w:isLgl w:val="false"/>
      <w:suff w:val="nothing"/>
      <w:lvlText w:val=""/>
      <w:lvlJc w:val="left"/>
      <w:pPr>
        <w:pStyle w:val="1225"/>
        <w:ind w:left="0" w:firstLine="0"/>
      </w:pPr>
      <w:rPr>
        <w:rFonts w:hint="eastAsia"/>
      </w:rPr>
    </w:lvl>
    <w:lvl w:ilvl="6">
      <w:start w:val="1"/>
      <w:numFmt w:val="decimal"/>
      <w:pStyle w:val="1232"/>
      <w:isLgl w:val="false"/>
      <w:suff w:val="nothing"/>
      <w:lvlText w:val=""/>
      <w:lvlJc w:val="left"/>
      <w:pPr>
        <w:pStyle w:val="1225"/>
        <w:ind w:left="0" w:firstLine="0"/>
      </w:pPr>
      <w:rPr>
        <w:rFonts w:hint="eastAsia"/>
      </w:rPr>
    </w:lvl>
    <w:lvl w:ilvl="7">
      <w:start w:val="1"/>
      <w:numFmt w:val="decimal"/>
      <w:pStyle w:val="1233"/>
      <w:isLgl w:val="false"/>
      <w:suff w:val="nothing"/>
      <w:lvlText w:val=""/>
      <w:lvlJc w:val="left"/>
      <w:pPr>
        <w:pStyle w:val="1225"/>
        <w:ind w:left="0" w:firstLine="0"/>
      </w:pPr>
      <w:rPr>
        <w:rFonts w:hint="eastAsia"/>
      </w:rPr>
    </w:lvl>
    <w:lvl w:ilvl="8">
      <w:start w:val="1"/>
      <w:numFmt w:val="decimal"/>
      <w:pStyle w:val="1234"/>
      <w:isLgl w:val="false"/>
      <w:suff w:val="nothing"/>
      <w:lvlText w:val=""/>
      <w:lvlJc w:val="left"/>
      <w:pPr>
        <w:pStyle w:val="1225"/>
        <w:ind w:left="0" w:firstLine="0"/>
      </w:pPr>
      <w:rPr>
        <w:rFonts w:hint="eastAsia"/>
      </w:rPr>
    </w:lvl>
  </w:abstractNum>
  <w:abstractNum w:abstractNumId="9">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12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0"/>
  </w:num>
  <w:num w:numId="5">
    <w:abstractNumId w:val="2"/>
  </w:num>
  <w:num w:numId="6">
    <w:abstractNumId w:val="4"/>
  </w:num>
  <w:num w:numId="7">
    <w:abstractNumId w:val="5"/>
  </w:num>
  <w:num w:numId="8">
    <w:abstractNumId w:val="0"/>
  </w:num>
  <w:num w:numId="9">
    <w:abstractNumId w:val="1"/>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7">
    <w:name w:val="Heading 1"/>
    <w:basedOn w:val="1225"/>
    <w:next w:val="1225"/>
    <w:link w:val="1048"/>
    <w:uiPriority w:val="9"/>
    <w:qFormat/>
    <w:pPr>
      <w:keepLines/>
      <w:keepNext/>
      <w:spacing w:before="480" w:after="200"/>
      <w:outlineLvl w:val="0"/>
    </w:pPr>
    <w:rPr>
      <w:rFonts w:ascii="Arial" w:hAnsi="Arial" w:eastAsia="Arial" w:cs="Arial"/>
      <w:sz w:val="40"/>
      <w:szCs w:val="40"/>
    </w:rPr>
  </w:style>
  <w:style w:type="character" w:styleId="1048">
    <w:name w:val="Heading 1 Char"/>
    <w:link w:val="1047"/>
    <w:uiPriority w:val="9"/>
    <w:rPr>
      <w:rFonts w:ascii="Arial" w:hAnsi="Arial" w:eastAsia="Arial" w:cs="Arial"/>
      <w:sz w:val="40"/>
      <w:szCs w:val="40"/>
    </w:rPr>
  </w:style>
  <w:style w:type="paragraph" w:styleId="1049">
    <w:name w:val="Heading 2"/>
    <w:basedOn w:val="1225"/>
    <w:next w:val="1225"/>
    <w:link w:val="1050"/>
    <w:uiPriority w:val="9"/>
    <w:unhideWhenUsed/>
    <w:qFormat/>
    <w:pPr>
      <w:keepLines/>
      <w:keepNext/>
      <w:spacing w:before="360" w:after="200"/>
      <w:outlineLvl w:val="1"/>
    </w:pPr>
    <w:rPr>
      <w:rFonts w:ascii="Arial" w:hAnsi="Arial" w:eastAsia="Arial" w:cs="Arial"/>
      <w:sz w:val="34"/>
    </w:rPr>
  </w:style>
  <w:style w:type="character" w:styleId="1050">
    <w:name w:val="Heading 2 Char"/>
    <w:link w:val="1049"/>
    <w:uiPriority w:val="9"/>
    <w:rPr>
      <w:rFonts w:ascii="Arial" w:hAnsi="Arial" w:eastAsia="Arial" w:cs="Arial"/>
      <w:sz w:val="34"/>
    </w:rPr>
  </w:style>
  <w:style w:type="paragraph" w:styleId="1051">
    <w:name w:val="Heading 3"/>
    <w:basedOn w:val="1225"/>
    <w:next w:val="1225"/>
    <w:link w:val="1052"/>
    <w:uiPriority w:val="9"/>
    <w:unhideWhenUsed/>
    <w:qFormat/>
    <w:pPr>
      <w:keepLines/>
      <w:keepNext/>
      <w:spacing w:before="320" w:after="200"/>
      <w:outlineLvl w:val="2"/>
    </w:pPr>
    <w:rPr>
      <w:rFonts w:ascii="Arial" w:hAnsi="Arial" w:eastAsia="Arial" w:cs="Arial"/>
      <w:sz w:val="30"/>
      <w:szCs w:val="30"/>
    </w:rPr>
  </w:style>
  <w:style w:type="character" w:styleId="1052">
    <w:name w:val="Heading 3 Char"/>
    <w:link w:val="1051"/>
    <w:uiPriority w:val="9"/>
    <w:rPr>
      <w:rFonts w:ascii="Arial" w:hAnsi="Arial" w:eastAsia="Arial" w:cs="Arial"/>
      <w:sz w:val="30"/>
      <w:szCs w:val="30"/>
    </w:rPr>
  </w:style>
  <w:style w:type="paragraph" w:styleId="1053">
    <w:name w:val="Heading 4"/>
    <w:basedOn w:val="1225"/>
    <w:next w:val="1225"/>
    <w:link w:val="1054"/>
    <w:uiPriority w:val="9"/>
    <w:unhideWhenUsed/>
    <w:qFormat/>
    <w:pPr>
      <w:keepLines/>
      <w:keepNext/>
      <w:spacing w:before="320" w:after="200"/>
      <w:outlineLvl w:val="3"/>
    </w:pPr>
    <w:rPr>
      <w:rFonts w:ascii="Arial" w:hAnsi="Arial" w:eastAsia="Arial" w:cs="Arial"/>
      <w:b/>
      <w:bCs/>
      <w:sz w:val="26"/>
      <w:szCs w:val="26"/>
    </w:rPr>
  </w:style>
  <w:style w:type="character" w:styleId="1054">
    <w:name w:val="Heading 4 Char"/>
    <w:link w:val="1053"/>
    <w:uiPriority w:val="9"/>
    <w:rPr>
      <w:rFonts w:ascii="Arial" w:hAnsi="Arial" w:eastAsia="Arial" w:cs="Arial"/>
      <w:b/>
      <w:bCs/>
      <w:sz w:val="26"/>
      <w:szCs w:val="26"/>
    </w:rPr>
  </w:style>
  <w:style w:type="paragraph" w:styleId="1055">
    <w:name w:val="Heading 5"/>
    <w:basedOn w:val="1225"/>
    <w:next w:val="1225"/>
    <w:link w:val="1056"/>
    <w:uiPriority w:val="9"/>
    <w:unhideWhenUsed/>
    <w:qFormat/>
    <w:pPr>
      <w:keepLines/>
      <w:keepNext/>
      <w:spacing w:before="320" w:after="200"/>
      <w:outlineLvl w:val="4"/>
    </w:pPr>
    <w:rPr>
      <w:rFonts w:ascii="Arial" w:hAnsi="Arial" w:eastAsia="Arial" w:cs="Arial"/>
      <w:b/>
      <w:bCs/>
      <w:sz w:val="24"/>
      <w:szCs w:val="24"/>
    </w:rPr>
  </w:style>
  <w:style w:type="character" w:styleId="1056">
    <w:name w:val="Heading 5 Char"/>
    <w:link w:val="1055"/>
    <w:uiPriority w:val="9"/>
    <w:rPr>
      <w:rFonts w:ascii="Arial" w:hAnsi="Arial" w:eastAsia="Arial" w:cs="Arial"/>
      <w:b/>
      <w:bCs/>
      <w:sz w:val="24"/>
      <w:szCs w:val="24"/>
    </w:rPr>
  </w:style>
  <w:style w:type="paragraph" w:styleId="1057">
    <w:name w:val="Heading 6"/>
    <w:basedOn w:val="1225"/>
    <w:next w:val="1225"/>
    <w:link w:val="1058"/>
    <w:uiPriority w:val="9"/>
    <w:unhideWhenUsed/>
    <w:qFormat/>
    <w:pPr>
      <w:keepLines/>
      <w:keepNext/>
      <w:spacing w:before="320" w:after="200"/>
      <w:outlineLvl w:val="5"/>
    </w:pPr>
    <w:rPr>
      <w:rFonts w:ascii="Arial" w:hAnsi="Arial" w:eastAsia="Arial" w:cs="Arial"/>
      <w:b/>
      <w:bCs/>
      <w:sz w:val="22"/>
      <w:szCs w:val="22"/>
    </w:rPr>
  </w:style>
  <w:style w:type="character" w:styleId="1058">
    <w:name w:val="Heading 6 Char"/>
    <w:link w:val="1057"/>
    <w:uiPriority w:val="9"/>
    <w:rPr>
      <w:rFonts w:ascii="Arial" w:hAnsi="Arial" w:eastAsia="Arial" w:cs="Arial"/>
      <w:b/>
      <w:bCs/>
      <w:sz w:val="22"/>
      <w:szCs w:val="22"/>
    </w:rPr>
  </w:style>
  <w:style w:type="paragraph" w:styleId="1059">
    <w:name w:val="Heading 7"/>
    <w:basedOn w:val="1225"/>
    <w:next w:val="1225"/>
    <w:link w:val="1060"/>
    <w:uiPriority w:val="9"/>
    <w:unhideWhenUsed/>
    <w:qFormat/>
    <w:pPr>
      <w:keepLines/>
      <w:keepNext/>
      <w:spacing w:before="320" w:after="200"/>
      <w:outlineLvl w:val="6"/>
    </w:pPr>
    <w:rPr>
      <w:rFonts w:ascii="Arial" w:hAnsi="Arial" w:eastAsia="Arial" w:cs="Arial"/>
      <w:b/>
      <w:bCs/>
      <w:i/>
      <w:iCs/>
      <w:sz w:val="22"/>
      <w:szCs w:val="22"/>
    </w:rPr>
  </w:style>
  <w:style w:type="character" w:styleId="1060">
    <w:name w:val="Heading 7 Char"/>
    <w:link w:val="1059"/>
    <w:uiPriority w:val="9"/>
    <w:rPr>
      <w:rFonts w:ascii="Arial" w:hAnsi="Arial" w:eastAsia="Arial" w:cs="Arial"/>
      <w:b/>
      <w:bCs/>
      <w:i/>
      <w:iCs/>
      <w:sz w:val="22"/>
      <w:szCs w:val="22"/>
    </w:rPr>
  </w:style>
  <w:style w:type="paragraph" w:styleId="1061">
    <w:name w:val="Heading 8"/>
    <w:basedOn w:val="1225"/>
    <w:next w:val="1225"/>
    <w:link w:val="1062"/>
    <w:uiPriority w:val="9"/>
    <w:unhideWhenUsed/>
    <w:qFormat/>
    <w:pPr>
      <w:keepLines/>
      <w:keepNext/>
      <w:spacing w:before="320" w:after="200"/>
      <w:outlineLvl w:val="7"/>
    </w:pPr>
    <w:rPr>
      <w:rFonts w:ascii="Arial" w:hAnsi="Arial" w:eastAsia="Arial" w:cs="Arial"/>
      <w:i/>
      <w:iCs/>
      <w:sz w:val="22"/>
      <w:szCs w:val="22"/>
    </w:rPr>
  </w:style>
  <w:style w:type="character" w:styleId="1062">
    <w:name w:val="Heading 8 Char"/>
    <w:link w:val="1061"/>
    <w:uiPriority w:val="9"/>
    <w:rPr>
      <w:rFonts w:ascii="Arial" w:hAnsi="Arial" w:eastAsia="Arial" w:cs="Arial"/>
      <w:i/>
      <w:iCs/>
      <w:sz w:val="22"/>
      <w:szCs w:val="22"/>
    </w:rPr>
  </w:style>
  <w:style w:type="paragraph" w:styleId="1063">
    <w:name w:val="Heading 9"/>
    <w:basedOn w:val="1225"/>
    <w:next w:val="1225"/>
    <w:link w:val="1064"/>
    <w:uiPriority w:val="9"/>
    <w:unhideWhenUsed/>
    <w:qFormat/>
    <w:pPr>
      <w:keepLines/>
      <w:keepNext/>
      <w:spacing w:before="320" w:after="200"/>
      <w:outlineLvl w:val="8"/>
    </w:pPr>
    <w:rPr>
      <w:rFonts w:ascii="Arial" w:hAnsi="Arial" w:eastAsia="Arial" w:cs="Arial"/>
      <w:i/>
      <w:iCs/>
      <w:sz w:val="21"/>
      <w:szCs w:val="21"/>
    </w:rPr>
  </w:style>
  <w:style w:type="character" w:styleId="1064">
    <w:name w:val="Heading 9 Char"/>
    <w:link w:val="1063"/>
    <w:uiPriority w:val="9"/>
    <w:rPr>
      <w:rFonts w:ascii="Arial" w:hAnsi="Arial" w:eastAsia="Arial" w:cs="Arial"/>
      <w:i/>
      <w:iCs/>
      <w:sz w:val="21"/>
      <w:szCs w:val="21"/>
    </w:rPr>
  </w:style>
  <w:style w:type="paragraph" w:styleId="1065">
    <w:name w:val="List Paragraph"/>
    <w:basedOn w:val="1225"/>
    <w:uiPriority w:val="34"/>
    <w:qFormat/>
    <w:pPr>
      <w:contextualSpacing/>
      <w:ind w:left="720"/>
    </w:pPr>
  </w:style>
  <w:style w:type="paragraph" w:styleId="1066">
    <w:name w:val="No Spacing"/>
    <w:uiPriority w:val="1"/>
    <w:qFormat/>
    <w:pPr>
      <w:spacing w:before="0" w:after="0" w:line="240" w:lineRule="auto"/>
    </w:pPr>
  </w:style>
  <w:style w:type="paragraph" w:styleId="1067">
    <w:name w:val="Title"/>
    <w:basedOn w:val="1225"/>
    <w:next w:val="1225"/>
    <w:link w:val="1068"/>
    <w:uiPriority w:val="10"/>
    <w:qFormat/>
    <w:pPr>
      <w:contextualSpacing/>
      <w:spacing w:before="300" w:after="200"/>
    </w:pPr>
    <w:rPr>
      <w:sz w:val="48"/>
      <w:szCs w:val="48"/>
    </w:rPr>
  </w:style>
  <w:style w:type="character" w:styleId="1068">
    <w:name w:val="Title Char"/>
    <w:link w:val="1067"/>
    <w:uiPriority w:val="10"/>
    <w:rPr>
      <w:sz w:val="48"/>
      <w:szCs w:val="48"/>
    </w:rPr>
  </w:style>
  <w:style w:type="paragraph" w:styleId="1069">
    <w:name w:val="Subtitle"/>
    <w:basedOn w:val="1225"/>
    <w:next w:val="1225"/>
    <w:link w:val="1070"/>
    <w:uiPriority w:val="11"/>
    <w:qFormat/>
    <w:pPr>
      <w:spacing w:before="200" w:after="200"/>
    </w:pPr>
    <w:rPr>
      <w:sz w:val="24"/>
      <w:szCs w:val="24"/>
    </w:rPr>
  </w:style>
  <w:style w:type="character" w:styleId="1070">
    <w:name w:val="Subtitle Char"/>
    <w:link w:val="1069"/>
    <w:uiPriority w:val="11"/>
    <w:rPr>
      <w:sz w:val="24"/>
      <w:szCs w:val="24"/>
    </w:rPr>
  </w:style>
  <w:style w:type="paragraph" w:styleId="1071">
    <w:name w:val="Quote"/>
    <w:basedOn w:val="1225"/>
    <w:next w:val="1225"/>
    <w:link w:val="1072"/>
    <w:uiPriority w:val="29"/>
    <w:qFormat/>
    <w:pPr>
      <w:ind w:left="720" w:right="720"/>
    </w:pPr>
    <w:rPr>
      <w:i/>
    </w:rPr>
  </w:style>
  <w:style w:type="character" w:styleId="1072">
    <w:name w:val="Quote Char"/>
    <w:link w:val="1071"/>
    <w:uiPriority w:val="29"/>
    <w:rPr>
      <w:i/>
    </w:rPr>
  </w:style>
  <w:style w:type="paragraph" w:styleId="1073">
    <w:name w:val="Intense Quote"/>
    <w:basedOn w:val="1225"/>
    <w:next w:val="1225"/>
    <w:link w:val="10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name w:val="Intense Quote Char"/>
    <w:link w:val="1073"/>
    <w:uiPriority w:val="30"/>
    <w:rPr>
      <w:i/>
    </w:rPr>
  </w:style>
  <w:style w:type="paragraph" w:styleId="1075">
    <w:name w:val="Header"/>
    <w:basedOn w:val="1225"/>
    <w:link w:val="1076"/>
    <w:uiPriority w:val="99"/>
    <w:unhideWhenUsed/>
    <w:pPr>
      <w:spacing w:after="0" w:line="240" w:lineRule="auto"/>
      <w:tabs>
        <w:tab w:val="center" w:pos="7143" w:leader="none"/>
        <w:tab w:val="right" w:pos="14287" w:leader="none"/>
      </w:tabs>
    </w:pPr>
  </w:style>
  <w:style w:type="character" w:styleId="1076">
    <w:name w:val="Header Char"/>
    <w:link w:val="1075"/>
    <w:uiPriority w:val="99"/>
  </w:style>
  <w:style w:type="paragraph" w:styleId="1077">
    <w:name w:val="Footer"/>
    <w:basedOn w:val="1225"/>
    <w:link w:val="1080"/>
    <w:uiPriority w:val="99"/>
    <w:unhideWhenUsed/>
    <w:pPr>
      <w:spacing w:after="0" w:line="240" w:lineRule="auto"/>
      <w:tabs>
        <w:tab w:val="center" w:pos="7143" w:leader="none"/>
        <w:tab w:val="right" w:pos="14287" w:leader="none"/>
      </w:tabs>
    </w:pPr>
  </w:style>
  <w:style w:type="character" w:styleId="1078">
    <w:name w:val="Footer Char"/>
    <w:link w:val="1077"/>
    <w:uiPriority w:val="99"/>
  </w:style>
  <w:style w:type="paragraph" w:styleId="1079">
    <w:name w:val="Caption"/>
    <w:basedOn w:val="1225"/>
    <w:next w:val="1225"/>
    <w:uiPriority w:val="35"/>
    <w:semiHidden/>
    <w:unhideWhenUsed/>
    <w:qFormat/>
    <w:pPr>
      <w:spacing w:line="276" w:lineRule="auto"/>
    </w:pPr>
    <w:rPr>
      <w:b/>
      <w:bCs/>
      <w:color w:val="4f81bd" w:themeColor="accent1"/>
      <w:sz w:val="18"/>
      <w:szCs w:val="18"/>
    </w:rPr>
  </w:style>
  <w:style w:type="character" w:styleId="1080">
    <w:name w:val="Caption Char"/>
    <w:basedOn w:val="1079"/>
    <w:link w:val="1077"/>
    <w:uiPriority w:val="99"/>
  </w:style>
  <w:style w:type="table" w:styleId="10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7">
    <w:name w:val="Hyperlink"/>
    <w:uiPriority w:val="99"/>
    <w:unhideWhenUsed/>
    <w:rPr>
      <w:color w:val="0000ff" w:themeColor="hyperlink"/>
      <w:u w:val="single"/>
    </w:rPr>
  </w:style>
  <w:style w:type="paragraph" w:styleId="1208">
    <w:name w:val="footnote text"/>
    <w:basedOn w:val="1225"/>
    <w:link w:val="1209"/>
    <w:uiPriority w:val="99"/>
    <w:semiHidden/>
    <w:unhideWhenUsed/>
    <w:pPr>
      <w:spacing w:after="40" w:line="240" w:lineRule="auto"/>
    </w:pPr>
    <w:rPr>
      <w:sz w:val="18"/>
    </w:rPr>
  </w:style>
  <w:style w:type="character" w:styleId="1209">
    <w:name w:val="Footnote Text Char"/>
    <w:link w:val="1208"/>
    <w:uiPriority w:val="99"/>
    <w:rPr>
      <w:sz w:val="18"/>
    </w:rPr>
  </w:style>
  <w:style w:type="character" w:styleId="1210">
    <w:name w:val="footnote reference"/>
    <w:uiPriority w:val="99"/>
    <w:unhideWhenUsed/>
    <w:rPr>
      <w:vertAlign w:val="superscript"/>
    </w:rPr>
  </w:style>
  <w:style w:type="paragraph" w:styleId="1211">
    <w:name w:val="endnote text"/>
    <w:basedOn w:val="1225"/>
    <w:link w:val="1212"/>
    <w:uiPriority w:val="99"/>
    <w:semiHidden/>
    <w:unhideWhenUsed/>
    <w:pPr>
      <w:spacing w:after="0" w:line="240" w:lineRule="auto"/>
    </w:pPr>
    <w:rPr>
      <w:sz w:val="20"/>
    </w:rPr>
  </w:style>
  <w:style w:type="character" w:styleId="1212">
    <w:name w:val="Endnote Text Char"/>
    <w:link w:val="1211"/>
    <w:uiPriority w:val="99"/>
    <w:rPr>
      <w:sz w:val="20"/>
    </w:rPr>
  </w:style>
  <w:style w:type="character" w:styleId="1213">
    <w:name w:val="endnote reference"/>
    <w:uiPriority w:val="99"/>
    <w:semiHidden/>
    <w:unhideWhenUsed/>
    <w:rPr>
      <w:vertAlign w:val="superscript"/>
    </w:rPr>
  </w:style>
  <w:style w:type="paragraph" w:styleId="1214">
    <w:name w:val="toc 1"/>
    <w:basedOn w:val="1225"/>
    <w:next w:val="1225"/>
    <w:uiPriority w:val="39"/>
    <w:unhideWhenUsed/>
    <w:pPr>
      <w:ind w:left="0" w:right="0" w:firstLine="0"/>
      <w:spacing w:after="57"/>
    </w:pPr>
  </w:style>
  <w:style w:type="paragraph" w:styleId="1215">
    <w:name w:val="toc 2"/>
    <w:basedOn w:val="1225"/>
    <w:next w:val="1225"/>
    <w:uiPriority w:val="39"/>
    <w:unhideWhenUsed/>
    <w:pPr>
      <w:ind w:left="283" w:right="0" w:firstLine="0"/>
      <w:spacing w:after="57"/>
    </w:pPr>
  </w:style>
  <w:style w:type="paragraph" w:styleId="1216">
    <w:name w:val="toc 3"/>
    <w:basedOn w:val="1225"/>
    <w:next w:val="1225"/>
    <w:uiPriority w:val="39"/>
    <w:unhideWhenUsed/>
    <w:pPr>
      <w:ind w:left="567" w:right="0" w:firstLine="0"/>
      <w:spacing w:after="57"/>
    </w:pPr>
  </w:style>
  <w:style w:type="paragraph" w:styleId="1217">
    <w:name w:val="toc 4"/>
    <w:basedOn w:val="1225"/>
    <w:next w:val="1225"/>
    <w:uiPriority w:val="39"/>
    <w:unhideWhenUsed/>
    <w:pPr>
      <w:ind w:left="850" w:right="0" w:firstLine="0"/>
      <w:spacing w:after="57"/>
    </w:pPr>
  </w:style>
  <w:style w:type="paragraph" w:styleId="1218">
    <w:name w:val="toc 5"/>
    <w:basedOn w:val="1225"/>
    <w:next w:val="1225"/>
    <w:uiPriority w:val="39"/>
    <w:unhideWhenUsed/>
    <w:pPr>
      <w:ind w:left="1134" w:right="0" w:firstLine="0"/>
      <w:spacing w:after="57"/>
    </w:pPr>
  </w:style>
  <w:style w:type="paragraph" w:styleId="1219">
    <w:name w:val="toc 6"/>
    <w:basedOn w:val="1225"/>
    <w:next w:val="1225"/>
    <w:uiPriority w:val="39"/>
    <w:unhideWhenUsed/>
    <w:pPr>
      <w:ind w:left="1417" w:right="0" w:firstLine="0"/>
      <w:spacing w:after="57"/>
    </w:pPr>
  </w:style>
  <w:style w:type="paragraph" w:styleId="1220">
    <w:name w:val="toc 7"/>
    <w:basedOn w:val="1225"/>
    <w:next w:val="1225"/>
    <w:uiPriority w:val="39"/>
    <w:unhideWhenUsed/>
    <w:pPr>
      <w:ind w:left="1701" w:right="0" w:firstLine="0"/>
      <w:spacing w:after="57"/>
    </w:pPr>
  </w:style>
  <w:style w:type="paragraph" w:styleId="1221">
    <w:name w:val="toc 8"/>
    <w:basedOn w:val="1225"/>
    <w:next w:val="1225"/>
    <w:uiPriority w:val="39"/>
    <w:unhideWhenUsed/>
    <w:pPr>
      <w:ind w:left="1984" w:right="0" w:firstLine="0"/>
      <w:spacing w:after="57"/>
    </w:pPr>
  </w:style>
  <w:style w:type="paragraph" w:styleId="1222">
    <w:name w:val="toc 9"/>
    <w:basedOn w:val="1225"/>
    <w:next w:val="1225"/>
    <w:uiPriority w:val="39"/>
    <w:unhideWhenUsed/>
    <w:pPr>
      <w:ind w:left="2268" w:right="0" w:firstLine="0"/>
      <w:spacing w:after="57"/>
    </w:pPr>
  </w:style>
  <w:style w:type="paragraph" w:styleId="1223">
    <w:name w:val="TOC Heading"/>
    <w:uiPriority w:val="39"/>
    <w:unhideWhenUsed/>
  </w:style>
  <w:style w:type="paragraph" w:styleId="1224">
    <w:name w:val="table of figures"/>
    <w:basedOn w:val="1225"/>
    <w:next w:val="1225"/>
    <w:uiPriority w:val="99"/>
    <w:unhideWhenUsed/>
    <w:pPr>
      <w:spacing w:after="0" w:afterAutospacing="0"/>
    </w:pPr>
  </w:style>
  <w:style w:type="paragraph" w:styleId="1225" w:default="1">
    <w:name w:val="Normal"/>
    <w:next w:val="1237"/>
    <w:link w:val="1225"/>
    <w:qFormat/>
    <w:pPr>
      <w:jc w:val="both"/>
      <w:widowControl w:val="off"/>
    </w:pPr>
    <w:rPr>
      <w:sz w:val="21"/>
      <w:szCs w:val="21"/>
      <w:lang w:val="en-US" w:eastAsia="zh-CN" w:bidi="ar-SA"/>
    </w:rPr>
  </w:style>
  <w:style w:type="paragraph" w:styleId="1226">
    <w:name w:val="标题 1"/>
    <w:basedOn w:val="1225"/>
    <w:next w:val="1225"/>
    <w:link w:val="1241"/>
    <w:qFormat/>
    <w:pPr>
      <w:jc w:val="center"/>
      <w:keepNext/>
      <w:outlineLvl w:val="0"/>
    </w:pPr>
    <w:rPr>
      <w:rFonts w:ascii="楷体_GB2312" w:eastAsia="楷体_GB2312"/>
      <w:sz w:val="28"/>
      <w:szCs w:val="28"/>
    </w:rPr>
  </w:style>
  <w:style w:type="paragraph" w:styleId="1227">
    <w:name w:val="标题 2"/>
    <w:basedOn w:val="1225"/>
    <w:next w:val="1225"/>
    <w:link w:val="1242"/>
    <w:qFormat/>
    <w:pPr>
      <w:jc w:val="center"/>
      <w:keepLines/>
      <w:keepNext/>
      <w:spacing w:before="260" w:after="260" w:line="416" w:lineRule="auto"/>
      <w:outlineLvl w:val="1"/>
    </w:pPr>
    <w:rPr>
      <w:rFonts w:ascii="Arial" w:hAnsi="Arial" w:eastAsia="幼圆"/>
      <w:b/>
      <w:bCs/>
      <w:sz w:val="44"/>
      <w:szCs w:val="44"/>
    </w:rPr>
  </w:style>
  <w:style w:type="paragraph" w:styleId="1228">
    <w:name w:val="标题 3"/>
    <w:basedOn w:val="1225"/>
    <w:next w:val="1244"/>
    <w:link w:val="1243"/>
    <w:qFormat/>
    <w:pPr>
      <w:keepLines/>
      <w:keepNext/>
      <w:spacing w:before="260" w:after="260" w:line="416" w:lineRule="auto"/>
      <w:outlineLvl w:val="2"/>
    </w:pPr>
    <w:rPr>
      <w:b/>
      <w:bCs/>
      <w:sz w:val="32"/>
      <w:szCs w:val="32"/>
    </w:rPr>
  </w:style>
  <w:style w:type="paragraph" w:styleId="1229">
    <w:name w:val="标题 4"/>
    <w:basedOn w:val="1225"/>
    <w:next w:val="1225"/>
    <w:link w:val="1246"/>
    <w:qFormat/>
    <w:pPr>
      <w:keepLines/>
      <w:keepNext/>
      <w:spacing w:before="280" w:after="290" w:line="376" w:lineRule="auto"/>
      <w:outlineLvl w:val="3"/>
    </w:pPr>
    <w:rPr>
      <w:rFonts w:ascii="Arial" w:hAnsi="Arial" w:eastAsia="黑体"/>
      <w:b/>
      <w:bCs/>
      <w:sz w:val="28"/>
      <w:szCs w:val="28"/>
    </w:rPr>
  </w:style>
  <w:style w:type="paragraph" w:styleId="1230">
    <w:name w:val="标题 5"/>
    <w:basedOn w:val="1225"/>
    <w:next w:val="1244"/>
    <w:link w:val="1247"/>
    <w:qFormat/>
    <w:pPr>
      <w:keepNext/>
      <w:outlineLvl w:val="4"/>
    </w:pPr>
    <w:rPr>
      <w:rFonts w:ascii="宋体"/>
      <w:color w:val="000000"/>
      <w:sz w:val="28"/>
      <w:szCs w:val="28"/>
    </w:rPr>
  </w:style>
  <w:style w:type="paragraph" w:styleId="1231">
    <w:name w:val="标题 6"/>
    <w:basedOn w:val="1225"/>
    <w:next w:val="1225"/>
    <w:link w:val="1248"/>
    <w:qFormat/>
    <w:pPr>
      <w:numPr>
        <w:ilvl w:val="5"/>
        <w:numId w:val="1"/>
      </w:numPr>
      <w:keepLines/>
      <w:keepNext/>
      <w:spacing w:before="240" w:after="64" w:line="320" w:lineRule="auto"/>
      <w:outlineLvl w:val="5"/>
    </w:pPr>
    <w:rPr>
      <w:rFonts w:ascii="Arial" w:hAnsi="Arial" w:eastAsia="黑体"/>
      <w:b/>
      <w:bCs/>
      <w:sz w:val="24"/>
      <w:szCs w:val="24"/>
    </w:rPr>
  </w:style>
  <w:style w:type="paragraph" w:styleId="1232">
    <w:name w:val="标题 7"/>
    <w:basedOn w:val="1225"/>
    <w:next w:val="1225"/>
    <w:link w:val="1249"/>
    <w:qFormat/>
    <w:pPr>
      <w:numPr>
        <w:ilvl w:val="6"/>
        <w:numId w:val="1"/>
      </w:numPr>
      <w:keepLines/>
      <w:keepNext/>
      <w:spacing w:before="240" w:after="64" w:line="320" w:lineRule="auto"/>
      <w:outlineLvl w:val="6"/>
    </w:pPr>
    <w:rPr>
      <w:b/>
      <w:bCs/>
      <w:sz w:val="24"/>
      <w:szCs w:val="24"/>
    </w:rPr>
  </w:style>
  <w:style w:type="paragraph" w:styleId="1233">
    <w:name w:val="标题 8"/>
    <w:basedOn w:val="1225"/>
    <w:next w:val="1225"/>
    <w:link w:val="1250"/>
    <w:qFormat/>
    <w:pPr>
      <w:numPr>
        <w:ilvl w:val="7"/>
        <w:numId w:val="1"/>
      </w:numPr>
      <w:keepLines/>
      <w:keepNext/>
      <w:spacing w:before="240" w:after="64" w:line="320" w:lineRule="auto"/>
      <w:outlineLvl w:val="7"/>
    </w:pPr>
    <w:rPr>
      <w:rFonts w:ascii="Arial" w:hAnsi="Arial" w:eastAsia="黑体"/>
      <w:sz w:val="24"/>
      <w:szCs w:val="24"/>
    </w:rPr>
  </w:style>
  <w:style w:type="paragraph" w:styleId="1234">
    <w:name w:val="标题 9"/>
    <w:basedOn w:val="1225"/>
    <w:next w:val="1225"/>
    <w:link w:val="1251"/>
    <w:qFormat/>
    <w:pPr>
      <w:numPr>
        <w:ilvl w:val="8"/>
        <w:numId w:val="1"/>
      </w:numPr>
      <w:keepLines/>
      <w:keepNext/>
      <w:spacing w:before="240" w:after="64" w:line="320" w:lineRule="auto"/>
      <w:outlineLvl w:val="8"/>
    </w:pPr>
    <w:rPr>
      <w:rFonts w:ascii="Arial" w:hAnsi="Arial" w:eastAsia="黑体"/>
      <w:sz w:val="20"/>
    </w:rPr>
  </w:style>
  <w:style w:type="character" w:styleId="1235">
    <w:name w:val="默认段落字体"/>
    <w:next w:val="1235"/>
    <w:link w:val="1225"/>
    <w:uiPriority w:val="1"/>
    <w:unhideWhenUsed/>
  </w:style>
  <w:style w:type="table" w:styleId="1236">
    <w:name w:val="普通表格"/>
    <w:next w:val="1236"/>
    <w:link w:val="1225"/>
    <w:uiPriority w:val="99"/>
    <w:unhideWhenUsed/>
    <w:tblPr/>
  </w:style>
  <w:style w:type="paragraph" w:styleId="1237">
    <w:name w:val="正文首行缩进"/>
    <w:basedOn w:val="1238"/>
    <w:next w:val="1237"/>
    <w:link w:val="1240"/>
    <w:pPr>
      <w:ind w:firstLine="200"/>
      <w:spacing w:line="360" w:lineRule="auto"/>
    </w:pPr>
    <w:rPr>
      <w:rFonts w:ascii="仿宋_GB2312" w:hAnsi="Times New Roman" w:eastAsia="仿宋_GB2312"/>
      <w:sz w:val="30"/>
      <w:szCs w:val="30"/>
    </w:rPr>
  </w:style>
  <w:style w:type="paragraph" w:styleId="1238">
    <w:name w:val="正文文本"/>
    <w:basedOn w:val="1225"/>
    <w:next w:val="1238"/>
    <w:link w:val="1239"/>
    <w:rPr>
      <w:rFonts w:ascii="楷体_GB2312" w:hAnsi="Arial" w:eastAsia="楷体_GB2312"/>
      <w:sz w:val="28"/>
      <w:szCs w:val="28"/>
    </w:rPr>
  </w:style>
  <w:style w:type="character" w:styleId="1239">
    <w:name w:val="正文文本 Char"/>
    <w:next w:val="1239"/>
    <w:link w:val="1238"/>
    <w:rPr>
      <w:rFonts w:ascii="楷体_GB2312" w:hAnsi="Arial" w:eastAsia="楷体_GB2312" w:cs="Times New Roman"/>
      <w:sz w:val="28"/>
      <w:szCs w:val="28"/>
    </w:rPr>
  </w:style>
  <w:style w:type="character" w:styleId="1240">
    <w:name w:val="正文首行缩进 Char"/>
    <w:next w:val="1240"/>
    <w:link w:val="1237"/>
    <w:rPr>
      <w:rFonts w:ascii="仿宋_GB2312" w:hAnsi="Times New Roman" w:eastAsia="仿宋_GB2312" w:cs="Times New Roman"/>
      <w:sz w:val="30"/>
      <w:szCs w:val="30"/>
    </w:rPr>
  </w:style>
  <w:style w:type="character" w:styleId="1241">
    <w:name w:val="标题 1 Char"/>
    <w:next w:val="1241"/>
    <w:link w:val="1226"/>
    <w:rPr>
      <w:rFonts w:ascii="楷体_GB2312" w:hAnsi="Times New Roman" w:eastAsia="楷体_GB2312" w:cs="Times New Roman"/>
      <w:sz w:val="28"/>
      <w:szCs w:val="28"/>
    </w:rPr>
  </w:style>
  <w:style w:type="character" w:styleId="1242">
    <w:name w:val="标题 2 Char"/>
    <w:next w:val="1242"/>
    <w:link w:val="1227"/>
    <w:rPr>
      <w:rFonts w:ascii="Arial" w:hAnsi="Arial" w:eastAsia="幼圆" w:cs="Arial"/>
      <w:b/>
      <w:bCs/>
      <w:sz w:val="44"/>
      <w:szCs w:val="44"/>
    </w:rPr>
  </w:style>
  <w:style w:type="character" w:styleId="1243">
    <w:name w:val="标题 3 Char"/>
    <w:next w:val="1243"/>
    <w:link w:val="1228"/>
    <w:rPr>
      <w:rFonts w:ascii="Times New Roman" w:hAnsi="Times New Roman" w:eastAsia="宋体" w:cs="Times New Roman"/>
      <w:b/>
      <w:bCs/>
      <w:sz w:val="32"/>
      <w:szCs w:val="32"/>
    </w:rPr>
  </w:style>
  <w:style w:type="paragraph" w:styleId="1244">
    <w:name w:val="正文缩进"/>
    <w:basedOn w:val="1225"/>
    <w:next w:val="1244"/>
    <w:link w:val="1245"/>
    <w:pPr>
      <w:ind w:firstLine="420"/>
    </w:pPr>
    <w:rPr>
      <w:sz w:val="20"/>
    </w:rPr>
  </w:style>
  <w:style w:type="character" w:styleId="1245">
    <w:name w:val="正文缩进 Char"/>
    <w:next w:val="1245"/>
    <w:link w:val="1244"/>
    <w:rPr>
      <w:rFonts w:ascii="Times New Roman" w:hAnsi="Times New Roman" w:eastAsia="宋体" w:cs="Times New Roman"/>
      <w:szCs w:val="21"/>
    </w:rPr>
  </w:style>
  <w:style w:type="character" w:styleId="1246">
    <w:name w:val="标题 4 Char"/>
    <w:next w:val="1246"/>
    <w:link w:val="1229"/>
    <w:rPr>
      <w:rFonts w:ascii="Arial" w:hAnsi="Arial" w:eastAsia="黑体" w:cs="Arial"/>
      <w:b/>
      <w:bCs/>
      <w:sz w:val="28"/>
      <w:szCs w:val="28"/>
    </w:rPr>
  </w:style>
  <w:style w:type="character" w:styleId="1247">
    <w:name w:val="标题 5 Char"/>
    <w:next w:val="1247"/>
    <w:link w:val="1230"/>
    <w:rPr>
      <w:rFonts w:ascii="宋体" w:hAnsi="Times New Roman" w:eastAsia="宋体" w:cs="Times New Roman"/>
      <w:color w:val="000000"/>
      <w:sz w:val="28"/>
      <w:szCs w:val="28"/>
    </w:rPr>
  </w:style>
  <w:style w:type="character" w:styleId="1248">
    <w:name w:val="标题 6 Char"/>
    <w:next w:val="1248"/>
    <w:link w:val="1231"/>
    <w:rPr>
      <w:rFonts w:ascii="Arial" w:hAnsi="Arial" w:eastAsia="黑体" w:cs="Times New Roman"/>
      <w:b/>
      <w:bCs/>
      <w:sz w:val="24"/>
      <w:szCs w:val="24"/>
    </w:rPr>
  </w:style>
  <w:style w:type="character" w:styleId="1249">
    <w:name w:val="标题 7 Char"/>
    <w:next w:val="1249"/>
    <w:link w:val="1232"/>
    <w:rPr>
      <w:rFonts w:ascii="Times New Roman" w:hAnsi="Times New Roman" w:eastAsia="宋体" w:cs="Times New Roman"/>
      <w:b/>
      <w:bCs/>
      <w:sz w:val="24"/>
      <w:szCs w:val="24"/>
    </w:rPr>
  </w:style>
  <w:style w:type="character" w:styleId="1250">
    <w:name w:val="标题 8 Char"/>
    <w:next w:val="1250"/>
    <w:link w:val="1233"/>
    <w:rPr>
      <w:rFonts w:ascii="Arial" w:hAnsi="Arial" w:eastAsia="黑体" w:cs="Times New Roman"/>
      <w:sz w:val="24"/>
      <w:szCs w:val="24"/>
    </w:rPr>
  </w:style>
  <w:style w:type="character" w:styleId="1251">
    <w:name w:val="标题 9 Char"/>
    <w:next w:val="1251"/>
    <w:link w:val="1234"/>
    <w:rPr>
      <w:rFonts w:ascii="Arial" w:hAnsi="Arial" w:eastAsia="黑体" w:cs="Times New Roman"/>
      <w:szCs w:val="21"/>
    </w:rPr>
  </w:style>
  <w:style w:type="paragraph" w:styleId="1252">
    <w:name w:val="列表 3"/>
    <w:basedOn w:val="1225"/>
    <w:next w:val="1252"/>
    <w:link w:val="1225"/>
    <w:pPr>
      <w:ind w:left="100" w:hanging="200"/>
    </w:pPr>
  </w:style>
  <w:style w:type="paragraph" w:styleId="1253">
    <w:name w:val="目录 7"/>
    <w:basedOn w:val="1225"/>
    <w:next w:val="1225"/>
    <w:link w:val="1225"/>
    <w:semiHidden/>
    <w:pPr>
      <w:ind w:left="1260"/>
      <w:jc w:val="left"/>
    </w:pPr>
  </w:style>
  <w:style w:type="paragraph" w:styleId="1254">
    <w:name w:val="文档结构图"/>
    <w:basedOn w:val="1225"/>
    <w:next w:val="1254"/>
    <w:link w:val="1255"/>
    <w:semiHidden/>
    <w:pPr>
      <w:shd w:val="clear" w:color="auto" w:fill="000080"/>
    </w:pPr>
    <w:rPr>
      <w:sz w:val="20"/>
    </w:rPr>
  </w:style>
  <w:style w:type="character" w:styleId="1255">
    <w:name w:val="文档结构图 Char"/>
    <w:next w:val="1255"/>
    <w:link w:val="1254"/>
    <w:semiHidden/>
    <w:rPr>
      <w:rFonts w:ascii="Times New Roman" w:hAnsi="Times New Roman" w:eastAsia="宋体" w:cs="Times New Roman"/>
      <w:szCs w:val="21"/>
      <w:shd w:val="clear" w:color="auto" w:fill="000080"/>
    </w:rPr>
  </w:style>
  <w:style w:type="paragraph" w:styleId="1256">
    <w:name w:val="批注文字"/>
    <w:basedOn w:val="1225"/>
    <w:next w:val="1256"/>
    <w:link w:val="1257"/>
    <w:semiHidden/>
    <w:pPr>
      <w:jc w:val="left"/>
    </w:pPr>
    <w:rPr>
      <w:sz w:val="20"/>
    </w:rPr>
  </w:style>
  <w:style w:type="character" w:styleId="1257">
    <w:name w:val="批注文字 Char"/>
    <w:next w:val="1257"/>
    <w:link w:val="1256"/>
    <w:semiHidden/>
    <w:rPr>
      <w:rFonts w:ascii="Times New Roman" w:hAnsi="Times New Roman" w:eastAsia="宋体" w:cs="Times New Roman"/>
      <w:szCs w:val="21"/>
    </w:rPr>
  </w:style>
  <w:style w:type="paragraph" w:styleId="1258">
    <w:name w:val="正文文本 3"/>
    <w:basedOn w:val="1225"/>
    <w:next w:val="1258"/>
    <w:link w:val="1259"/>
    <w:rPr>
      <w:rFonts w:ascii="仿宋_GB2312" w:hAnsi="Arial" w:eastAsia="仿宋_GB2312"/>
      <w:sz w:val="32"/>
      <w:szCs w:val="32"/>
    </w:rPr>
  </w:style>
  <w:style w:type="character" w:styleId="1259">
    <w:name w:val="正文文本 3 Char"/>
    <w:next w:val="1259"/>
    <w:link w:val="1258"/>
    <w:rPr>
      <w:rFonts w:ascii="仿宋_GB2312" w:hAnsi="Arial" w:eastAsia="仿宋_GB2312" w:cs="Times New Roman"/>
      <w:sz w:val="32"/>
      <w:szCs w:val="32"/>
    </w:rPr>
  </w:style>
  <w:style w:type="paragraph" w:styleId="1260">
    <w:name w:val="正文文本缩进"/>
    <w:basedOn w:val="1225"/>
    <w:next w:val="1225"/>
    <w:link w:val="1261"/>
    <w:pPr>
      <w:ind w:firstLine="645"/>
    </w:pPr>
    <w:rPr>
      <w:rFonts w:ascii="楷体_GB2312" w:eastAsia="楷体_GB2312"/>
      <w:sz w:val="32"/>
      <w:szCs w:val="32"/>
    </w:rPr>
  </w:style>
  <w:style w:type="character" w:styleId="1261">
    <w:name w:val="正文文本缩进 Char"/>
    <w:next w:val="1261"/>
    <w:link w:val="1260"/>
    <w:rPr>
      <w:rFonts w:ascii="楷体_GB2312" w:hAnsi="Times New Roman" w:eastAsia="楷体_GB2312" w:cs="Times New Roman"/>
      <w:sz w:val="32"/>
      <w:szCs w:val="32"/>
    </w:rPr>
  </w:style>
  <w:style w:type="paragraph" w:styleId="1262">
    <w:name w:val="列表 2"/>
    <w:basedOn w:val="1225"/>
    <w:next w:val="1262"/>
    <w:link w:val="1225"/>
    <w:pPr>
      <w:ind w:left="100" w:hanging="200"/>
    </w:pPr>
  </w:style>
  <w:style w:type="paragraph" w:styleId="1263">
    <w:name w:val="目录 5"/>
    <w:basedOn w:val="1225"/>
    <w:next w:val="1225"/>
    <w:link w:val="1225"/>
    <w:semiHidden/>
    <w:pPr>
      <w:ind w:left="840"/>
      <w:jc w:val="left"/>
    </w:pPr>
  </w:style>
  <w:style w:type="paragraph" w:styleId="1264">
    <w:name w:val="目录 3"/>
    <w:basedOn w:val="1225"/>
    <w:next w:val="1225"/>
    <w:link w:val="1225"/>
    <w:semiHidden/>
    <w:pPr>
      <w:ind w:left="420"/>
      <w:jc w:val="left"/>
    </w:pPr>
    <w:rPr>
      <w:i/>
      <w:iCs/>
      <w:szCs w:val="24"/>
    </w:rPr>
  </w:style>
  <w:style w:type="paragraph" w:styleId="1265">
    <w:name w:val="纯文本"/>
    <w:basedOn w:val="1225"/>
    <w:next w:val="1265"/>
    <w:link w:val="1266"/>
    <w:rPr>
      <w:rFonts w:ascii="宋体" w:hAnsi="Courier New"/>
      <w:sz w:val="20"/>
    </w:rPr>
  </w:style>
  <w:style w:type="character" w:styleId="1266">
    <w:name w:val="纯文本 Char"/>
    <w:next w:val="1266"/>
    <w:link w:val="1265"/>
    <w:rPr>
      <w:rFonts w:ascii="宋体" w:hAnsi="Courier New" w:eastAsia="宋体" w:cs="Courier New"/>
      <w:szCs w:val="21"/>
    </w:rPr>
  </w:style>
  <w:style w:type="paragraph" w:styleId="1267">
    <w:name w:val="目录 8"/>
    <w:basedOn w:val="1225"/>
    <w:next w:val="1225"/>
    <w:link w:val="1225"/>
    <w:semiHidden/>
    <w:pPr>
      <w:ind w:left="1470"/>
      <w:jc w:val="left"/>
    </w:pPr>
  </w:style>
  <w:style w:type="paragraph" w:styleId="1268">
    <w:name w:val="日期"/>
    <w:basedOn w:val="1225"/>
    <w:next w:val="1225"/>
    <w:link w:val="1269"/>
    <w:rPr>
      <w:sz w:val="24"/>
      <w:szCs w:val="24"/>
    </w:rPr>
  </w:style>
  <w:style w:type="character" w:styleId="1269">
    <w:name w:val="日期 Char"/>
    <w:next w:val="1269"/>
    <w:link w:val="1268"/>
    <w:rPr>
      <w:rFonts w:ascii="Times New Roman" w:hAnsi="Times New Roman" w:eastAsia="宋体" w:cs="Times New Roman"/>
      <w:sz w:val="24"/>
      <w:szCs w:val="24"/>
    </w:rPr>
  </w:style>
  <w:style w:type="paragraph" w:styleId="1270">
    <w:name w:val="正文文本缩进 2"/>
    <w:basedOn w:val="1225"/>
    <w:next w:val="1270"/>
    <w:link w:val="1271"/>
    <w:pPr>
      <w:ind w:left="630" w:firstLine="645"/>
    </w:pPr>
    <w:rPr>
      <w:rFonts w:ascii="Arial" w:hAnsi="Arial" w:eastAsia="仿宋_GB2312"/>
      <w:sz w:val="32"/>
      <w:szCs w:val="32"/>
    </w:rPr>
  </w:style>
  <w:style w:type="character" w:styleId="1271">
    <w:name w:val="正文文本缩进 2 Char"/>
    <w:next w:val="1271"/>
    <w:link w:val="1270"/>
    <w:rPr>
      <w:rFonts w:ascii="Arial" w:hAnsi="Arial" w:eastAsia="仿宋_GB2312" w:cs="Arial"/>
      <w:sz w:val="32"/>
      <w:szCs w:val="32"/>
    </w:rPr>
  </w:style>
  <w:style w:type="paragraph" w:styleId="1272">
    <w:name w:val="批注框文本"/>
    <w:basedOn w:val="1225"/>
    <w:next w:val="1272"/>
    <w:link w:val="1273"/>
    <w:semiHidden/>
    <w:rPr>
      <w:sz w:val="18"/>
      <w:szCs w:val="18"/>
    </w:rPr>
  </w:style>
  <w:style w:type="character" w:styleId="1273">
    <w:name w:val="批注框文本 Char"/>
    <w:next w:val="1273"/>
    <w:link w:val="1272"/>
    <w:semiHidden/>
    <w:rPr>
      <w:rFonts w:ascii="Times New Roman" w:hAnsi="Times New Roman" w:eastAsia="宋体" w:cs="Times New Roman"/>
      <w:sz w:val="18"/>
      <w:szCs w:val="18"/>
    </w:rPr>
  </w:style>
  <w:style w:type="paragraph" w:styleId="1274">
    <w:name w:val="页脚"/>
    <w:basedOn w:val="1225"/>
    <w:next w:val="1274"/>
    <w:link w:val="1275"/>
    <w:pPr>
      <w:jc w:val="left"/>
      <w:tabs>
        <w:tab w:val="center" w:pos="4153" w:leader="none"/>
        <w:tab w:val="right" w:pos="8306" w:leader="none"/>
      </w:tabs>
    </w:pPr>
    <w:rPr>
      <w:sz w:val="18"/>
      <w:szCs w:val="18"/>
    </w:rPr>
  </w:style>
  <w:style w:type="character" w:styleId="1275">
    <w:name w:val="页脚 Char"/>
    <w:next w:val="1275"/>
    <w:link w:val="1274"/>
    <w:rPr>
      <w:rFonts w:ascii="Times New Roman" w:hAnsi="Times New Roman" w:eastAsia="宋体" w:cs="Times New Roman"/>
      <w:sz w:val="18"/>
      <w:szCs w:val="18"/>
    </w:rPr>
  </w:style>
  <w:style w:type="paragraph" w:styleId="1276">
    <w:name w:val="寄信人地址"/>
    <w:basedOn w:val="1225"/>
    <w:next w:val="1276"/>
    <w:link w:val="1225"/>
    <w:uiPriority w:val="99"/>
    <w:unhideWhenUsed/>
    <w:qFormat/>
    <w:rPr>
      <w:rFonts w:ascii="Arial" w:hAnsi="Arial" w:eastAsia="宋体" w:cs="Times New Roman"/>
      <w:szCs w:val="24"/>
    </w:rPr>
  </w:style>
  <w:style w:type="paragraph" w:styleId="1277">
    <w:name w:val="页眉"/>
    <w:basedOn w:val="1225"/>
    <w:next w:val="1277"/>
    <w:link w:val="1278"/>
    <w:pPr>
      <w:jc w:val="center"/>
      <w:tabs>
        <w:tab w:val="center" w:pos="4153" w:leader="none"/>
        <w:tab w:val="right" w:pos="8306" w:leader="none"/>
      </w:tabs>
      <w:pBdr>
        <w:bottom w:val="single" w:color="000000" w:sz="6" w:space="1"/>
      </w:pBdr>
    </w:pPr>
    <w:rPr>
      <w:sz w:val="18"/>
      <w:szCs w:val="18"/>
    </w:rPr>
  </w:style>
  <w:style w:type="character" w:styleId="1278">
    <w:name w:val="页眉 Char"/>
    <w:next w:val="1278"/>
    <w:link w:val="1277"/>
    <w:rPr>
      <w:rFonts w:ascii="Times New Roman" w:hAnsi="Times New Roman" w:eastAsia="宋体" w:cs="Times New Roman"/>
      <w:sz w:val="18"/>
      <w:szCs w:val="18"/>
    </w:rPr>
  </w:style>
  <w:style w:type="paragraph" w:styleId="1279">
    <w:name w:val="目录 1"/>
    <w:basedOn w:val="1225"/>
    <w:next w:val="1225"/>
    <w:link w:val="1225"/>
    <w:semiHidden/>
    <w:pPr>
      <w:jc w:val="left"/>
      <w:spacing w:before="120" w:after="120" w:line="400" w:lineRule="exact"/>
      <w:tabs>
        <w:tab w:val="right" w:pos="8720" w:leader="dot"/>
      </w:tabs>
    </w:pPr>
    <w:rPr>
      <w:rFonts w:ascii="宋体" w:hAnsi="宋体"/>
      <w:caps/>
      <w:sz w:val="24"/>
      <w:szCs w:val="24"/>
    </w:rPr>
  </w:style>
  <w:style w:type="paragraph" w:styleId="1280">
    <w:name w:val="目录 4"/>
    <w:basedOn w:val="1225"/>
    <w:next w:val="1225"/>
    <w:link w:val="1225"/>
    <w:semiHidden/>
    <w:pPr>
      <w:ind w:left="630"/>
      <w:jc w:val="left"/>
    </w:pPr>
  </w:style>
  <w:style w:type="paragraph" w:styleId="1281">
    <w:name w:val="列表"/>
    <w:basedOn w:val="1225"/>
    <w:next w:val="1281"/>
    <w:link w:val="1225"/>
    <w:pPr>
      <w:ind w:left="200" w:hanging="200"/>
    </w:pPr>
  </w:style>
  <w:style w:type="paragraph" w:styleId="1282">
    <w:name w:val="目录 6"/>
    <w:basedOn w:val="1225"/>
    <w:next w:val="1225"/>
    <w:link w:val="1225"/>
    <w:semiHidden/>
    <w:pPr>
      <w:ind w:left="1050"/>
      <w:jc w:val="left"/>
    </w:pPr>
  </w:style>
  <w:style w:type="paragraph" w:styleId="1283">
    <w:name w:val="正文文本缩进 3"/>
    <w:basedOn w:val="1225"/>
    <w:next w:val="1283"/>
    <w:link w:val="1284"/>
    <w:pPr>
      <w:ind w:left="645" w:firstLine="645"/>
    </w:pPr>
    <w:rPr>
      <w:rFonts w:ascii="Arial" w:hAnsi="Arial" w:eastAsia="仿宋_GB2312"/>
      <w:color w:val="ffff00"/>
      <w:sz w:val="32"/>
      <w:szCs w:val="32"/>
    </w:rPr>
  </w:style>
  <w:style w:type="character" w:styleId="1284">
    <w:name w:val="正文文本缩进 3 Char"/>
    <w:next w:val="1284"/>
    <w:link w:val="1283"/>
    <w:rPr>
      <w:rFonts w:ascii="Arial" w:hAnsi="Arial" w:eastAsia="仿宋_GB2312" w:cs="Arial"/>
      <w:color w:val="ffff00"/>
      <w:sz w:val="32"/>
      <w:szCs w:val="32"/>
    </w:rPr>
  </w:style>
  <w:style w:type="paragraph" w:styleId="1285">
    <w:name w:val="图表目录"/>
    <w:basedOn w:val="1225"/>
    <w:next w:val="1225"/>
    <w:link w:val="1225"/>
    <w:semiHidden/>
    <w:pPr>
      <w:ind w:left="840" w:hanging="420"/>
    </w:pPr>
  </w:style>
  <w:style w:type="paragraph" w:styleId="1286">
    <w:name w:val="目录 2"/>
    <w:basedOn w:val="1225"/>
    <w:next w:val="1225"/>
    <w:link w:val="1225"/>
    <w:semiHidden/>
    <w:pPr>
      <w:ind w:left="210"/>
      <w:jc w:val="left"/>
    </w:pPr>
    <w:rPr>
      <w:smallCaps/>
      <w:szCs w:val="24"/>
    </w:rPr>
  </w:style>
  <w:style w:type="paragraph" w:styleId="1287">
    <w:name w:val="目录 9"/>
    <w:basedOn w:val="1225"/>
    <w:next w:val="1225"/>
    <w:link w:val="1225"/>
    <w:semiHidden/>
    <w:pPr>
      <w:ind w:left="1680"/>
      <w:jc w:val="left"/>
    </w:pPr>
  </w:style>
  <w:style w:type="paragraph" w:styleId="1288">
    <w:name w:val="正文文本 2"/>
    <w:basedOn w:val="1225"/>
    <w:next w:val="1288"/>
    <w:link w:val="1289"/>
    <w:pPr>
      <w:jc w:val="center"/>
      <w:widowControl/>
    </w:pPr>
    <w:rPr>
      <w:rFonts w:ascii="楷体_GB2312" w:eastAsia="楷体_GB2312"/>
      <w:sz w:val="28"/>
      <w:szCs w:val="28"/>
    </w:rPr>
  </w:style>
  <w:style w:type="character" w:styleId="1289">
    <w:name w:val="正文文本 2 Char"/>
    <w:next w:val="1289"/>
    <w:link w:val="1288"/>
    <w:rPr>
      <w:rFonts w:ascii="楷体_GB2312" w:hAnsi="Times New Roman" w:eastAsia="楷体_GB2312" w:cs="Times New Roman"/>
      <w:sz w:val="28"/>
      <w:szCs w:val="28"/>
    </w:rPr>
  </w:style>
  <w:style w:type="paragraph" w:styleId="1290">
    <w:name w:val="普通(网站)"/>
    <w:basedOn w:val="1225"/>
    <w:next w:val="1290"/>
    <w:link w:val="1225"/>
    <w:uiPriority w:val="99"/>
    <w:pPr>
      <w:jc w:val="left"/>
      <w:spacing w:before="100" w:beforeAutospacing="1" w:after="100" w:afterAutospacing="1"/>
      <w:widowControl/>
    </w:pPr>
    <w:rPr>
      <w:rFonts w:ascii="宋体" w:hAnsi="宋体" w:cs="宋体"/>
      <w:sz w:val="24"/>
      <w:szCs w:val="24"/>
    </w:rPr>
  </w:style>
  <w:style w:type="paragraph" w:styleId="1291">
    <w:name w:val="索引 1"/>
    <w:basedOn w:val="1225"/>
    <w:next w:val="1225"/>
    <w:link w:val="1225"/>
    <w:semiHidden/>
    <w:pPr>
      <w:spacing w:line="240" w:lineRule="atLeast"/>
    </w:pPr>
    <w:rPr>
      <w:b/>
      <w:bCs/>
    </w:rPr>
  </w:style>
  <w:style w:type="paragraph" w:styleId="1292">
    <w:name w:val="批注主题"/>
    <w:basedOn w:val="1256"/>
    <w:next w:val="1256"/>
    <w:link w:val="1293"/>
    <w:semiHidden/>
    <w:rPr>
      <w:b/>
      <w:bCs/>
      <w:sz w:val="20"/>
    </w:rPr>
  </w:style>
  <w:style w:type="character" w:styleId="1293">
    <w:name w:val="批注主题 Char"/>
    <w:next w:val="1293"/>
    <w:link w:val="1292"/>
    <w:semiHidden/>
    <w:rPr>
      <w:rFonts w:ascii="Times New Roman" w:hAnsi="Times New Roman" w:eastAsia="宋体" w:cs="Times New Roman"/>
      <w:b/>
      <w:bCs/>
      <w:szCs w:val="21"/>
    </w:rPr>
  </w:style>
  <w:style w:type="paragraph" w:styleId="1294">
    <w:name w:val="正文首行缩进 2"/>
    <w:basedOn w:val="1260"/>
    <w:next w:val="1294"/>
    <w:link w:val="1295"/>
    <w:pPr>
      <w:ind w:firstLine="420"/>
      <w:spacing w:line="360" w:lineRule="auto"/>
    </w:pPr>
    <w:rPr>
      <w:rFonts w:ascii="宋体" w:hAnsi="宋体" w:eastAsia="宋体"/>
      <w:szCs w:val="20"/>
    </w:rPr>
  </w:style>
  <w:style w:type="character" w:styleId="1295">
    <w:name w:val="正文首行缩进 2 Char"/>
    <w:next w:val="1295"/>
    <w:link w:val="1294"/>
    <w:rPr>
      <w:rFonts w:ascii="宋体" w:hAnsi="宋体" w:eastAsia="宋体" w:cs="Times New Roman"/>
      <w:sz w:val="32"/>
      <w:szCs w:val="20"/>
    </w:rPr>
  </w:style>
  <w:style w:type="table" w:styleId="1296">
    <w:name w:val="网格型"/>
    <w:basedOn w:val="1236"/>
    <w:next w:val="1296"/>
    <w:link w:val="1225"/>
    <w:pPr>
      <w:jc w:val="both"/>
      <w:widowControl w:val="off"/>
    </w:pPr>
    <w:rPr>
      <w:rFonts w:ascii="Times New Roman" w:hAnsi="Times New Roman" w:eastAsia="宋体" w:cs="Times New Roman"/>
      <w:sz w:val="20"/>
      <w:szCs w:val="20"/>
    </w:rPr>
    <w:tblPr/>
  </w:style>
  <w:style w:type="character" w:styleId="1297">
    <w:name w:val="要点"/>
    <w:next w:val="1297"/>
    <w:link w:val="1225"/>
    <w:qFormat/>
    <w:rPr>
      <w:b/>
      <w:bCs/>
    </w:rPr>
  </w:style>
  <w:style w:type="character" w:styleId="1298">
    <w:name w:val="页码"/>
    <w:next w:val="1298"/>
    <w:link w:val="1225"/>
  </w:style>
  <w:style w:type="character" w:styleId="1299">
    <w:name w:val="已访问的超链接"/>
    <w:next w:val="1299"/>
    <w:link w:val="1225"/>
    <w:rPr>
      <w:color w:val="800080"/>
      <w:u w:val="single"/>
    </w:rPr>
  </w:style>
  <w:style w:type="character" w:styleId="1300">
    <w:name w:val="超链接"/>
    <w:next w:val="1300"/>
    <w:link w:val="1225"/>
    <w:rPr>
      <w:color w:val="0000ff"/>
      <w:u w:val="single"/>
    </w:rPr>
  </w:style>
  <w:style w:type="character" w:styleId="1301">
    <w:name w:val="批注引用"/>
    <w:next w:val="1301"/>
    <w:link w:val="1225"/>
    <w:semiHidden/>
    <w:rPr>
      <w:sz w:val="21"/>
      <w:szCs w:val="21"/>
    </w:rPr>
  </w:style>
  <w:style w:type="paragraph" w:styleId="1302">
    <w:name w:val="批注框文本1"/>
    <w:basedOn w:val="1225"/>
    <w:next w:val="1302"/>
    <w:link w:val="1225"/>
    <w:uiPriority w:val="99"/>
    <w:unhideWhenUsed/>
    <w:qFormat/>
    <w:rPr>
      <w:sz w:val="18"/>
      <w:szCs w:val="18"/>
    </w:rPr>
  </w:style>
  <w:style w:type="paragraph" w:styleId="1303">
    <w:name w:val="正文文本1"/>
    <w:basedOn w:val="1225"/>
    <w:next w:val="1225"/>
    <w:link w:val="1225"/>
    <w:qFormat/>
    <w:rPr>
      <w:rFonts w:ascii="楷体_GB2312" w:hAnsi="Arial" w:eastAsia="楷体_GB2312"/>
      <w:sz w:val="28"/>
      <w:szCs w:val="28"/>
    </w:rPr>
  </w:style>
  <w:style w:type="paragraph" w:styleId="1304">
    <w:name w:val="footer1"/>
    <w:basedOn w:val="1305"/>
    <w:next w:val="1304"/>
    <w:link w:val="1225"/>
    <w:qFormat/>
    <w:pPr>
      <w:jc w:val="left"/>
      <w:tabs>
        <w:tab w:val="center" w:pos="4153" w:leader="none"/>
        <w:tab w:val="right" w:pos="8306" w:leader="none"/>
      </w:tabs>
    </w:pPr>
    <w:rPr>
      <w:sz w:val="18"/>
    </w:rPr>
  </w:style>
  <w:style w:type="paragraph" w:styleId="1305">
    <w:name w:val="正文111"/>
    <w:next w:val="1306"/>
    <w:link w:val="1225"/>
    <w:qFormat/>
    <w:pPr>
      <w:jc w:val="both"/>
      <w:widowControl w:val="off"/>
    </w:pPr>
    <w:rPr>
      <w:sz w:val="21"/>
      <w:szCs w:val="22"/>
      <w:lang w:val="en-US" w:eastAsia="zh-CN" w:bidi="ar-SA"/>
    </w:rPr>
  </w:style>
  <w:style w:type="paragraph" w:styleId="1306">
    <w:name w:val="标题 41"/>
    <w:basedOn w:val="1307"/>
    <w:next w:val="1305"/>
    <w:link w:val="122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307">
    <w:name w:val="正文11"/>
    <w:next w:val="1304"/>
    <w:link w:val="1225"/>
    <w:qFormat/>
    <w:pPr>
      <w:jc w:val="both"/>
      <w:spacing w:line="856" w:lineRule="atLeast"/>
    </w:pPr>
    <w:rPr>
      <w:color w:val="000000"/>
      <w:sz w:val="21"/>
      <w:lang w:val="en-US" w:eastAsia="zh-CN" w:bidi="ar-SA"/>
    </w:rPr>
  </w:style>
  <w:style w:type="character" w:styleId="1308">
    <w:name w:val="列出段落 Char,Bullet List Char,numbered Char,FooterText Char,List Paragraph1 Char,Paragraphe de liste1 Char"/>
    <w:next w:val="1308"/>
    <w:link w:val="1309"/>
    <w:rPr>
      <w:rFonts w:ascii="Calibri" w:hAnsi="Calibri"/>
      <w:sz w:val="24"/>
      <w:szCs w:val="24"/>
      <w:lang w:eastAsia="en-US" w:bidi="en-US"/>
    </w:rPr>
  </w:style>
  <w:style w:type="paragraph" w:styleId="1309">
    <w:name w:val="列出段落1"/>
    <w:basedOn w:val="1225"/>
    <w:next w:val="1309"/>
    <w:link w:val="1308"/>
    <w:qFormat/>
    <w:pPr>
      <w:contextualSpacing/>
      <w:ind w:left="720"/>
      <w:jc w:val="left"/>
      <w:widowControl/>
    </w:pPr>
    <w:rPr>
      <w:rFonts w:ascii="Calibri" w:hAnsi="Calibri"/>
      <w:sz w:val="24"/>
      <w:szCs w:val="24"/>
      <w:lang w:eastAsia="en-US" w:bidi="en-US"/>
    </w:rPr>
  </w:style>
  <w:style w:type="character" w:styleId="1310">
    <w:name w:val="二级目录 Char"/>
    <w:next w:val="1310"/>
    <w:link w:val="1311"/>
    <w:rPr>
      <w:b/>
      <w:sz w:val="30"/>
      <w:szCs w:val="28"/>
      <w:lang w:val="en-US" w:eastAsia="zh-CN" w:bidi="ar-SA"/>
    </w:rPr>
  </w:style>
  <w:style w:type="paragraph" w:styleId="1311">
    <w:name w:val="二级目录"/>
    <w:next w:val="1225"/>
    <w:link w:val="1310"/>
    <w:pPr>
      <w:numPr>
        <w:ilvl w:val="0"/>
        <w:numId w:val="2"/>
      </w:numPr>
      <w:tabs>
        <w:tab w:val="left" w:pos="907" w:leader="none"/>
        <w:tab w:val="left" w:pos="1145" w:leader="none"/>
      </w:tabs>
      <w:outlineLvl w:val="1"/>
    </w:pPr>
    <w:rPr>
      <w:b/>
      <w:sz w:val="30"/>
      <w:szCs w:val="28"/>
      <w:lang w:val="en-US" w:eastAsia="zh-CN" w:bidi="ar-SA"/>
    </w:rPr>
  </w:style>
  <w:style w:type="character" w:styleId="1312">
    <w:name w:val="NormalCharacter1"/>
    <w:next w:val="1312"/>
    <w:link w:val="1225"/>
    <w:semiHidden/>
    <w:qFormat/>
    <w:rPr>
      <w:color w:val="000000"/>
      <w:sz w:val="21"/>
      <w:u w:val="none"/>
      <w:lang w:val="en-US" w:eastAsia="zh-CN" w:bidi="ar-SA"/>
    </w:rPr>
  </w:style>
  <w:style w:type="character" w:styleId="1313">
    <w:name w:val="font5 Char"/>
    <w:next w:val="1313"/>
    <w:link w:val="1225"/>
    <w:rPr>
      <w:rFonts w:ascii="宋体" w:hAnsi="宋体" w:eastAsia="宋体"/>
      <w:sz w:val="28"/>
      <w:szCs w:val="28"/>
      <w:lang w:val="en-US" w:eastAsia="zh-CN" w:bidi="ar-SA"/>
    </w:rPr>
  </w:style>
  <w:style w:type="paragraph" w:styleId="1314">
    <w:name w:val="附录1"/>
    <w:next w:val="1314"/>
    <w:link w:val="1225"/>
    <w:pPr>
      <w:numPr>
        <w:ilvl w:val="0"/>
        <w:numId w:val="2"/>
      </w:numPr>
      <w:spacing w:before="240" w:line="600" w:lineRule="atLeast"/>
      <w:tabs>
        <w:tab w:val="left" w:pos="907" w:leader="none"/>
      </w:tabs>
    </w:pPr>
    <w:rPr>
      <w:b/>
      <w:i/>
      <w:sz w:val="28"/>
      <w:lang w:val="en-US" w:eastAsia="zh-CN" w:bidi="ar-SA"/>
    </w:rPr>
  </w:style>
  <w:style w:type="paragraph" w:styleId="1315">
    <w:name w:val=" Char"/>
    <w:basedOn w:val="1254"/>
    <w:next w:val="1315"/>
    <w:link w:val="1225"/>
    <w:rPr>
      <w:rFonts w:ascii="Tahoma" w:hAnsi="Tahoma"/>
      <w:sz w:val="24"/>
      <w:szCs w:val="24"/>
    </w:rPr>
  </w:style>
  <w:style w:type="paragraph" w:styleId="1316">
    <w:name w:val="table_1stline"/>
    <w:basedOn w:val="1225"/>
    <w:next w:val="1316"/>
    <w:link w:val="1225"/>
    <w:pPr>
      <w:jc w:val="left"/>
      <w:spacing w:before="120"/>
      <w:widowControl/>
    </w:pPr>
    <w:rPr>
      <w:bCs/>
      <w:sz w:val="20"/>
      <w:szCs w:val="20"/>
      <w:lang w:val="de-DE" w:eastAsia="de-DE"/>
    </w:rPr>
  </w:style>
  <w:style w:type="paragraph" w:styleId="1317">
    <w:name w:val="Body Text(ch)"/>
    <w:basedOn w:val="1225"/>
    <w:next w:val="1238"/>
    <w:link w:val="1225"/>
    <w:pPr>
      <w:spacing w:after="120"/>
    </w:pPr>
    <w:rPr>
      <w:rFonts w:ascii="宋体" w:hAnsi="Arial"/>
      <w:bCs/>
      <w:iCs/>
      <w:szCs w:val="24"/>
    </w:rPr>
  </w:style>
  <w:style w:type="paragraph" w:styleId="1318">
    <w:name w:val="标题 2_0"/>
    <w:basedOn w:val="1319"/>
    <w:next w:val="1319"/>
    <w:link w:val="1225"/>
    <w:qFormat/>
    <w:pPr>
      <w:jc w:val="center"/>
      <w:keepLines/>
      <w:keepNext/>
      <w:spacing w:before="260" w:after="260" w:line="416" w:lineRule="auto"/>
      <w:outlineLvl w:val="1"/>
    </w:pPr>
    <w:rPr>
      <w:rFonts w:ascii="幼圆" w:hAnsi="Arial" w:eastAsia="楷体_GB2312"/>
      <w:b/>
      <w:sz w:val="44"/>
      <w:szCs w:val="20"/>
    </w:rPr>
  </w:style>
  <w:style w:type="paragraph" w:styleId="1319">
    <w:name w:val="正文_0"/>
    <w:next w:val="1318"/>
    <w:link w:val="1225"/>
    <w:qFormat/>
    <w:pPr>
      <w:jc w:val="both"/>
      <w:widowControl w:val="off"/>
    </w:pPr>
    <w:rPr>
      <w:sz w:val="21"/>
      <w:szCs w:val="24"/>
      <w:lang w:val="en-US" w:eastAsia="zh-CN" w:bidi="ar-SA"/>
    </w:rPr>
  </w:style>
  <w:style w:type="paragraph" w:styleId="1320">
    <w:name w:val="font7"/>
    <w:basedOn w:val="1225"/>
    <w:next w:val="1320"/>
    <w:link w:val="1225"/>
    <w:pPr>
      <w:jc w:val="left"/>
      <w:spacing w:before="100" w:beforeAutospacing="1" w:after="100" w:afterAutospacing="1"/>
      <w:widowControl/>
    </w:pPr>
    <w:rPr>
      <w:rFonts w:hint="eastAsia" w:ascii="宋体" w:hAnsi="宋体"/>
      <w:sz w:val="18"/>
      <w:szCs w:val="18"/>
    </w:rPr>
  </w:style>
  <w:style w:type="paragraph" w:styleId="1321">
    <w:name w:val="table_lines"/>
    <w:basedOn w:val="1225"/>
    <w:next w:val="1321"/>
    <w:link w:val="1225"/>
    <w:pPr>
      <w:jc w:val="left"/>
      <w:widowControl/>
    </w:pPr>
    <w:rPr>
      <w:sz w:val="20"/>
      <w:szCs w:val="20"/>
      <w:lang w:val="de-DE" w:eastAsia="de-DE"/>
    </w:rPr>
  </w:style>
  <w:style w:type="paragraph" w:styleId="1322">
    <w:name w:val="xl28"/>
    <w:basedOn w:val="1225"/>
    <w:next w:val="1322"/>
    <w:link w:val="12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23">
    <w:name w:val=" Char Char Char Char Char Char Char Char"/>
    <w:basedOn w:val="1225"/>
    <w:next w:val="1323"/>
    <w:link w:val="1225"/>
    <w:pPr>
      <w:jc w:val="left"/>
      <w:spacing w:after="160" w:line="240" w:lineRule="exact"/>
      <w:widowControl/>
    </w:pPr>
    <w:rPr>
      <w:rFonts w:ascii="Verdana" w:hAnsi="Verdana"/>
      <w:sz w:val="20"/>
      <w:szCs w:val="20"/>
      <w:lang w:eastAsia="en-US"/>
    </w:rPr>
  </w:style>
  <w:style w:type="paragraph" w:styleId="1324">
    <w:name w:val="Char"/>
    <w:basedOn w:val="1225"/>
    <w:next w:val="1324"/>
    <w:link w:val="1225"/>
    <w:pPr>
      <w:ind w:firstLine="200"/>
      <w:tabs>
        <w:tab w:val="left" w:pos="360" w:leader="none"/>
      </w:tabs>
    </w:pPr>
    <w:rPr>
      <w:sz w:val="28"/>
      <w:szCs w:val="30"/>
    </w:rPr>
  </w:style>
  <w:style w:type="paragraph" w:styleId="1325">
    <w:name w:val="xl27"/>
    <w:basedOn w:val="1225"/>
    <w:next w:val="1325"/>
    <w:link w:val="12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6">
    <w:name w:val="xl24"/>
    <w:basedOn w:val="1225"/>
    <w:next w:val="1326"/>
    <w:link w:val="12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7">
    <w:name w:val="xl26"/>
    <w:basedOn w:val="1225"/>
    <w:next w:val="1327"/>
    <w:link w:val="12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8">
    <w:name w:val="普通正文"/>
    <w:basedOn w:val="1225"/>
    <w:next w:val="1328"/>
    <w:link w:val="1225"/>
    <w:pPr>
      <w:ind w:firstLine="480"/>
      <w:jc w:val="left"/>
      <w:spacing w:before="120" w:after="120" w:line="360" w:lineRule="auto"/>
    </w:pPr>
    <w:rPr>
      <w:rFonts w:ascii="Arial" w:hAnsi="Arial"/>
      <w:sz w:val="24"/>
      <w:szCs w:val="24"/>
    </w:rPr>
  </w:style>
  <w:style w:type="paragraph" w:styleId="1329">
    <w:name w:val=" Char Char Char Char"/>
    <w:basedOn w:val="1254"/>
    <w:next w:val="1329"/>
    <w:link w:val="1225"/>
    <w:pPr>
      <w:spacing w:line="360" w:lineRule="auto"/>
    </w:pPr>
    <w:rPr>
      <w:rFonts w:ascii="Tahoma" w:hAnsi="Tahoma"/>
      <w:sz w:val="24"/>
      <w:szCs w:val="24"/>
    </w:rPr>
  </w:style>
  <w:style w:type="paragraph" w:styleId="1330">
    <w:name w:val="列出段落"/>
    <w:basedOn w:val="1225"/>
    <w:next w:val="1330"/>
    <w:link w:val="1225"/>
    <w:qFormat/>
    <w:pPr>
      <w:contextualSpacing/>
      <w:ind w:left="720"/>
      <w:jc w:val="left"/>
      <w:widowControl/>
    </w:pPr>
    <w:rPr>
      <w:rFonts w:ascii="Calibri" w:hAnsi="Calibri"/>
      <w:sz w:val="24"/>
      <w:szCs w:val="24"/>
      <w:lang w:eastAsia="en-US" w:bidi="en-US"/>
    </w:rPr>
  </w:style>
  <w:style w:type="paragraph" w:styleId="1331">
    <w:name w:val="4"/>
    <w:basedOn w:val="1225"/>
    <w:next w:val="1283"/>
    <w:link w:val="1225"/>
    <w:pPr>
      <w:ind w:firstLine="420"/>
      <w:spacing w:line="360" w:lineRule="auto"/>
    </w:pPr>
    <w:rPr>
      <w:color w:val="ff0000"/>
      <w:sz w:val="24"/>
      <w:szCs w:val="24"/>
    </w:rPr>
  </w:style>
  <w:style w:type="paragraph" w:styleId="1332">
    <w:name w:val="普通 (Web)"/>
    <w:basedOn w:val="1225"/>
    <w:next w:val="1332"/>
    <w:link w:val="1225"/>
    <w:pPr>
      <w:jc w:val="left"/>
      <w:spacing w:before="100" w:beforeAutospacing="1" w:after="100" w:afterAutospacing="1"/>
      <w:widowControl/>
    </w:pPr>
    <w:rPr>
      <w:rFonts w:ascii="宋体" w:hAnsi="宋体"/>
      <w:sz w:val="24"/>
      <w:szCs w:val="24"/>
    </w:rPr>
  </w:style>
  <w:style w:type="paragraph" w:styleId="1333">
    <w:name w:val=" Char Char Char Char Char Char Char Char Char Char"/>
    <w:basedOn w:val="1225"/>
    <w:next w:val="1333"/>
    <w:link w:val="1225"/>
    <w:pPr>
      <w:spacing w:line="360" w:lineRule="auto"/>
    </w:pPr>
    <w:rPr>
      <w:sz w:val="24"/>
      <w:szCs w:val="20"/>
    </w:rPr>
  </w:style>
  <w:style w:type="paragraph" w:styleId="1334">
    <w:name w:val="样式1"/>
    <w:basedOn w:val="1225"/>
    <w:next w:val="1334"/>
    <w:link w:val="1225"/>
    <w:pPr>
      <w:numPr>
        <w:ilvl w:val="0"/>
        <w:numId w:val="3"/>
      </w:numPr>
      <w:tabs>
        <w:tab w:val="left" w:pos="709" w:leader="none"/>
      </w:tabs>
    </w:pPr>
    <w:rPr>
      <w:rFonts w:ascii="宋体" w:hAnsi="宋体"/>
    </w:rPr>
  </w:style>
  <w:style w:type="paragraph" w:styleId="1335">
    <w:name w:val="font6"/>
    <w:basedOn w:val="1225"/>
    <w:next w:val="1335"/>
    <w:link w:val="1225"/>
    <w:pPr>
      <w:jc w:val="left"/>
      <w:spacing w:before="100" w:beforeAutospacing="1" w:after="100" w:afterAutospacing="1"/>
      <w:widowControl/>
    </w:pPr>
    <w:rPr>
      <w:rFonts w:hint="eastAsia" w:ascii="宋体" w:hAnsi="宋体"/>
      <w:sz w:val="28"/>
      <w:szCs w:val="28"/>
      <w:u w:val="single"/>
    </w:rPr>
  </w:style>
  <w:style w:type="paragraph" w:styleId="1336">
    <w:name w:val="xl25"/>
    <w:basedOn w:val="1225"/>
    <w:next w:val="1336"/>
    <w:link w:val="12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7">
    <w:name w:val="图标"/>
    <w:basedOn w:val="1225"/>
    <w:next w:val="1225"/>
    <w:link w:val="12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8">
    <w:name w:val="标题3"/>
    <w:basedOn w:val="1225"/>
    <w:next w:val="1225"/>
    <w:link w:val="1225"/>
    <w:pPr>
      <w:ind w:firstLine="624"/>
      <w:spacing w:line="590" w:lineRule="atLeast"/>
    </w:pPr>
    <w:rPr>
      <w:rFonts w:ascii="方正黑体_GBK" w:eastAsia="方正黑体_GBK"/>
      <w:sz w:val="32"/>
      <w:szCs w:val="32"/>
    </w:rPr>
  </w:style>
  <w:style w:type="paragraph" w:styleId="1339">
    <w:name w:val="xl29"/>
    <w:basedOn w:val="1225"/>
    <w:next w:val="1339"/>
    <w:link w:val="12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40">
    <w:name w:val="Char Char Char Char Char Char Char Char"/>
    <w:basedOn w:val="1225"/>
    <w:next w:val="1340"/>
    <w:link w:val="1225"/>
    <w:pPr>
      <w:jc w:val="left"/>
      <w:spacing w:after="160" w:line="240" w:lineRule="exact"/>
      <w:widowControl/>
    </w:pPr>
    <w:rPr>
      <w:rFonts w:ascii="Verdana" w:hAnsi="Verdana"/>
      <w:sz w:val="20"/>
      <w:szCs w:val="20"/>
      <w:lang w:eastAsia="en-US"/>
    </w:rPr>
  </w:style>
  <w:style w:type="paragraph" w:styleId="1341">
    <w:name w:val="xl30"/>
    <w:basedOn w:val="1225"/>
    <w:next w:val="1341"/>
    <w:link w:val="1225"/>
    <w:pPr>
      <w:jc w:val="center"/>
      <w:spacing w:before="100" w:beforeAutospacing="1" w:after="100" w:afterAutospacing="1"/>
      <w:widowControl/>
    </w:pPr>
    <w:rPr>
      <w:rFonts w:ascii="宋体" w:hAnsi="宋体"/>
      <w:b/>
      <w:bCs/>
      <w:sz w:val="36"/>
      <w:szCs w:val="36"/>
    </w:rPr>
  </w:style>
  <w:style w:type="paragraph" w:styleId="1342">
    <w:name w:val="Char Char Char Char"/>
    <w:basedOn w:val="1254"/>
    <w:next w:val="1342"/>
    <w:link w:val="1225"/>
    <w:pPr>
      <w:spacing w:line="360" w:lineRule="auto"/>
    </w:pPr>
    <w:rPr>
      <w:rFonts w:ascii="Tahoma" w:hAnsi="Tahoma"/>
      <w:sz w:val="24"/>
      <w:szCs w:val="24"/>
    </w:rPr>
  </w:style>
  <w:style w:type="paragraph" w:styleId="1343">
    <w:name w:val="font5"/>
    <w:basedOn w:val="1225"/>
    <w:next w:val="1343"/>
    <w:link w:val="1225"/>
    <w:pPr>
      <w:jc w:val="left"/>
      <w:spacing w:before="100" w:beforeAutospacing="1" w:after="100" w:afterAutospacing="1"/>
      <w:widowControl/>
    </w:pPr>
    <w:rPr>
      <w:rFonts w:hint="eastAsia" w:ascii="宋体" w:hAnsi="宋体"/>
      <w:sz w:val="28"/>
      <w:szCs w:val="28"/>
    </w:rPr>
  </w:style>
  <w:style w:type="paragraph" w:styleId="1344">
    <w:name w:val="标题1"/>
    <w:basedOn w:val="1225"/>
    <w:next w:val="1225"/>
    <w:link w:val="1225"/>
    <w:pPr>
      <w:jc w:val="center"/>
      <w:spacing w:line="700" w:lineRule="atLeast"/>
      <w:tabs>
        <w:tab w:val="left" w:pos="9193" w:leader="none"/>
        <w:tab w:val="left" w:pos="9827" w:leader="none"/>
      </w:tabs>
    </w:pPr>
    <w:rPr>
      <w:rFonts w:ascii="方正小标宋_GBK" w:eastAsia="方正小标宋_GBK"/>
      <w:sz w:val="44"/>
      <w:szCs w:val="20"/>
    </w:rPr>
  </w:style>
  <w:style w:type="paragraph" w:styleId="1345">
    <w:name w:val="修订"/>
    <w:next w:val="1345"/>
    <w:link w:val="1225"/>
    <w:uiPriority w:val="99"/>
    <w:semiHidden/>
    <w:rPr>
      <w:sz w:val="21"/>
      <w:szCs w:val="21"/>
      <w:lang w:val="en-US" w:eastAsia="zh-CN" w:bidi="ar-SA"/>
    </w:rPr>
  </w:style>
  <w:style w:type="paragraph" w:styleId="1346">
    <w:name w:val="无间隔"/>
    <w:next w:val="1346"/>
    <w:link w:val="1225"/>
    <w:uiPriority w:val="99"/>
    <w:qFormat/>
    <w:pPr>
      <w:jc w:val="both"/>
      <w:widowControl w:val="off"/>
    </w:pPr>
    <w:rPr>
      <w:sz w:val="21"/>
      <w:szCs w:val="21"/>
      <w:lang w:val="en-US" w:eastAsia="zh-CN" w:bidi="ar-SA"/>
    </w:rPr>
  </w:style>
  <w:style w:type="paragraph" w:styleId="1347">
    <w:name w:val="正文_1_0"/>
    <w:next w:val="1347"/>
    <w:link w:val="1225"/>
    <w:qFormat/>
    <w:pPr>
      <w:jc w:val="both"/>
      <w:widowControl w:val="off"/>
    </w:pPr>
    <w:rPr>
      <w:sz w:val="21"/>
      <w:szCs w:val="22"/>
      <w:lang w:val="en-US" w:eastAsia="zh-CN" w:bidi="ar-SA"/>
    </w:rPr>
  </w:style>
  <w:style w:type="paragraph" w:styleId="1348">
    <w:name w:val="普通(网站)_0"/>
    <w:basedOn w:val="1319"/>
    <w:next w:val="1348"/>
    <w:link w:val="1225"/>
    <w:qFormat/>
    <w:pPr>
      <w:jc w:val="left"/>
      <w:spacing w:before="100" w:beforeAutospacing="1" w:after="100" w:afterAutospacing="1"/>
      <w:widowControl/>
    </w:pPr>
    <w:rPr>
      <w:rFonts w:ascii="宋体" w:hAnsi="宋体" w:eastAsia="等线" w:cs="宋体"/>
      <w:color w:val="000000"/>
      <w:sz w:val="24"/>
    </w:rPr>
  </w:style>
  <w:style w:type="paragraph" w:styleId="1349">
    <w:name w:val="Table Text"/>
    <w:basedOn w:val="1225"/>
    <w:next w:val="1349"/>
    <w:link w:val="1225"/>
    <w:semiHidden/>
    <w:qFormat/>
    <w:rPr>
      <w:rFonts w:ascii="宋体" w:hAnsi="宋体" w:eastAsia="宋体" w:cs="宋体"/>
      <w:sz w:val="16"/>
      <w:szCs w:val="16"/>
      <w:lang w:val="en-US" w:eastAsia="en-US" w:bidi="ar-SA"/>
    </w:rPr>
  </w:style>
  <w:style w:type="paragraph" w:styleId="1350">
    <w:name w:val="页脚1"/>
    <w:basedOn w:val="1307"/>
    <w:next w:val="1350"/>
    <w:link w:val="1225"/>
    <w:qFormat/>
    <w:pPr>
      <w:ind w:firstLine="419"/>
      <w:jc w:val="left"/>
      <w:spacing w:line="714" w:lineRule="atLeast"/>
      <w:tabs>
        <w:tab w:val="left" w:pos="4138" w:leader="none"/>
        <w:tab w:val="left" w:pos="8005" w:leader="none"/>
      </w:tabs>
    </w:pPr>
    <w:rPr>
      <w:sz w:val="18"/>
    </w:rPr>
  </w:style>
  <w:style w:type="table" w:styleId="1351">
    <w:name w:val="网格型1"/>
    <w:basedOn w:val="1352"/>
    <w:next w:val="1351"/>
    <w:link w:val="1225"/>
    <w:pPr>
      <w:jc w:val="both"/>
      <w:widowControl w:val="off"/>
    </w:pPr>
    <w:tblPr/>
  </w:style>
  <w:style w:type="table" w:styleId="1352">
    <w:name w:val="普通表格1"/>
    <w:next w:val="1352"/>
    <w:link w:val="1225"/>
    <w:semiHidden/>
    <w:qFormat/>
    <w:rPr>
      <w:lang w:val="en-US" w:eastAsia="zh-CN" w:bidi="ar-SA"/>
    </w:rPr>
    <w:tblPr/>
  </w:style>
  <w:style w:type="paragraph" w:styleId="1353">
    <w:name w:val="AONormal"/>
    <w:next w:val="1353"/>
    <w:link w:val="1225"/>
    <w:qFormat/>
    <w:pPr>
      <w:ind w:firstLine="440"/>
      <w:spacing w:line="400" w:lineRule="exact"/>
    </w:pPr>
    <w:rPr>
      <w:rFonts w:ascii="华文楷体" w:hAnsi="华文楷体" w:eastAsia="华文楷体" w:cs="华文楷体"/>
      <w:sz w:val="22"/>
      <w:szCs w:val="21"/>
      <w:lang w:val="en-US" w:eastAsia="zh-CN" w:bidi="ar-SA"/>
    </w:rPr>
  </w:style>
  <w:style w:type="paragraph" w:styleId="1354">
    <w:name w:val="正文文本缩进1"/>
    <w:basedOn w:val="1225"/>
    <w:next w:val="1354"/>
    <w:link w:val="1225"/>
    <w:qFormat/>
    <w:pPr>
      <w:ind w:left="200"/>
      <w:spacing w:after="120"/>
    </w:pPr>
    <w:rPr>
      <w:rFonts w:ascii="Times New Roman" w:hAnsi="Times New Roman" w:eastAsia="宋体" w:cs="Times New Roman"/>
      <w:szCs w:val="24"/>
    </w:rPr>
  </w:style>
  <w:style w:type="character" w:styleId="1355">
    <w:name w:val="font61"/>
    <w:basedOn w:val="1235"/>
    <w:next w:val="1355"/>
    <w:link w:val="1225"/>
    <w:rPr>
      <w:rFonts w:hint="eastAsia" w:ascii="微软雅黑" w:hAnsi="微软雅黑" w:eastAsia="微软雅黑" w:cs="微软雅黑"/>
      <w:i w:val="0"/>
      <w:iCs w:val="0"/>
      <w:color w:val="000000"/>
      <w:sz w:val="22"/>
      <w:szCs w:val="22"/>
      <w:u w:val="none"/>
    </w:rPr>
  </w:style>
  <w:style w:type="paragraph" w:styleId="1356">
    <w:name w:val="普通(网站)1"/>
    <w:basedOn w:val="1225"/>
    <w:next w:val="1356"/>
    <w:link w:val="1225"/>
    <w:uiPriority w:val="99"/>
    <w:qFormat/>
    <w:pPr>
      <w:jc w:val="left"/>
      <w:spacing w:before="100" w:beforeAutospacing="1" w:after="100" w:afterAutospacing="1"/>
      <w:widowControl/>
    </w:pPr>
    <w:rPr>
      <w:rFonts w:ascii="宋体" w:hAnsi="宋体" w:cs="宋体"/>
      <w:sz w:val="24"/>
      <w:szCs w:val="24"/>
    </w:rPr>
  </w:style>
  <w:style w:type="character" w:styleId="1357">
    <w:name w:val="font31"/>
    <w:basedOn w:val="1235"/>
    <w:next w:val="1357"/>
    <w:link w:val="1225"/>
    <w:qFormat/>
    <w:rPr>
      <w:rFonts w:hint="eastAsia" w:ascii="宋体" w:hAnsi="宋体" w:eastAsia="宋体" w:cs="宋体"/>
      <w:color w:val="000000"/>
      <w:sz w:val="21"/>
      <w:szCs w:val="21"/>
      <w:u w:val="none"/>
    </w:rPr>
  </w:style>
  <w:style w:type="character" w:styleId="1358">
    <w:name w:val="font41"/>
    <w:basedOn w:val="1235"/>
    <w:next w:val="1358"/>
    <w:link w:val="1225"/>
    <w:qFormat/>
    <w:rPr>
      <w:rFonts w:hint="eastAsia" w:ascii="宋体" w:hAnsi="宋体" w:eastAsia="宋体" w:cs="宋体"/>
      <w:color w:val="000000"/>
      <w:sz w:val="21"/>
      <w:szCs w:val="21"/>
      <w:u w:val="none"/>
    </w:rPr>
  </w:style>
  <w:style w:type="character" w:styleId="1359">
    <w:name w:val="font21"/>
    <w:basedOn w:val="1235"/>
    <w:next w:val="1359"/>
    <w:link w:val="1225"/>
    <w:qFormat/>
    <w:rPr>
      <w:rFonts w:hint="eastAsia" w:ascii="宋体" w:hAnsi="宋体" w:eastAsia="宋体" w:cs="宋体"/>
      <w:b/>
      <w:bCs/>
      <w:color w:val="000000"/>
      <w:sz w:val="21"/>
      <w:szCs w:val="21"/>
      <w:u w:val="none"/>
    </w:rPr>
  </w:style>
  <w:style w:type="character" w:styleId="1360">
    <w:name w:val="font51"/>
    <w:basedOn w:val="1235"/>
    <w:next w:val="1360"/>
    <w:link w:val="1225"/>
    <w:qFormat/>
    <w:rPr>
      <w:rFonts w:hint="eastAsia" w:ascii="宋体" w:hAnsi="宋体" w:eastAsia="宋体" w:cs="宋体"/>
      <w:color w:val="000000"/>
      <w:sz w:val="21"/>
      <w:szCs w:val="21"/>
      <w:u w:val="none"/>
      <w:vertAlign w:val="superscript"/>
    </w:rPr>
  </w:style>
  <w:style w:type="paragraph" w:styleId="1361">
    <w:name w:val="Normal_5"/>
    <w:next w:val="1361"/>
    <w:link w:val="1225"/>
    <w:qFormat/>
    <w:rPr>
      <w:rFonts w:ascii="Times New Roman" w:hAnsi="Times New Roman" w:eastAsia="Times New Roman" w:cs="Times New Roman"/>
      <w:sz w:val="24"/>
      <w:szCs w:val="24"/>
      <w:lang w:val="en-US" w:eastAsia="zh-CN" w:bidi="ar-SA"/>
    </w:rPr>
  </w:style>
  <w:style w:type="paragraph" w:styleId="1362">
    <w:name w:val="正文_3"/>
    <w:next w:val="1362"/>
    <w:link w:val="1225"/>
    <w:qFormat/>
    <w:pPr>
      <w:jc w:val="both"/>
      <w:widowControl w:val="off"/>
    </w:pPr>
    <w:rPr>
      <w:rFonts w:ascii="Calibri" w:hAnsi="Calibri" w:eastAsia="宋体" w:cs="Times New Roman"/>
      <w:sz w:val="21"/>
      <w:szCs w:val="22"/>
      <w:lang w:val="en-US" w:eastAsia="zh-CN" w:bidi="ar-SA"/>
    </w:rPr>
  </w:style>
  <w:style w:type="paragraph" w:styleId="1363">
    <w:name w:val="列表段落2"/>
    <w:basedOn w:val="1225"/>
    <w:next w:val="1363"/>
    <w:link w:val="1225"/>
    <w:uiPriority w:val="34"/>
    <w:qFormat/>
    <w:pPr>
      <w:ind w:firstLine="420"/>
    </w:pPr>
    <w:rPr>
      <w:rFonts w:ascii="Calibri" w:hAnsi="Calibri" w:eastAsia="宋体" w:cs="Times New Roman"/>
      <w:szCs w:val="22"/>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9</cp:revision>
  <dcterms:created xsi:type="dcterms:W3CDTF">2023-03-16T02:16:00Z</dcterms:created>
  <dcterms:modified xsi:type="dcterms:W3CDTF">2026-08-12T06:42:03Z</dcterms:modified>
</cp:coreProperties>
</file>